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30C1F" w14:textId="77777777" w:rsidR="00442F00" w:rsidRPr="00C6329A" w:rsidRDefault="00442F00" w:rsidP="00442F00">
      <w:pPr>
        <w:pStyle w:val="Paragraphestandard"/>
        <w:suppressAutoHyphens/>
        <w:jc w:val="right"/>
        <w:rPr>
          <w:rFonts w:ascii="Candara" w:hAnsi="Candara" w:cs="Century Gothic"/>
        </w:rPr>
      </w:pPr>
      <w:r w:rsidRPr="00C6329A">
        <w:rPr>
          <w:rFonts w:ascii="Candara" w:hAnsi="Candara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0E0B968" wp14:editId="7835D000">
            <wp:simplePos x="0" y="0"/>
            <wp:positionH relativeFrom="column">
              <wp:align>center</wp:align>
            </wp:positionH>
            <wp:positionV relativeFrom="paragraph">
              <wp:posOffset>-478790</wp:posOffset>
            </wp:positionV>
            <wp:extent cx="946150" cy="735330"/>
            <wp:effectExtent l="0" t="0" r="6350" b="7620"/>
            <wp:wrapNone/>
            <wp:docPr id="1" name="Image 1" descr="logo_conseil_2009_fr_DDblanc-bleu-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conseil_2009_fr_DDblanc-bleu-rou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29A">
        <w:rPr>
          <w:rFonts w:ascii="Candara" w:hAnsi="Candara" w:cs="Century Gothic"/>
        </w:rPr>
        <w:t xml:space="preserve">  </w:t>
      </w:r>
    </w:p>
    <w:p w14:paraId="2B04CB38" w14:textId="77777777" w:rsidR="00442F00" w:rsidRPr="000879CB" w:rsidRDefault="00442F00" w:rsidP="000879CB">
      <w:pPr>
        <w:pStyle w:val="Paragraphestandard"/>
        <w:suppressAutoHyphens/>
        <w:jc w:val="right"/>
        <w:rPr>
          <w:rFonts w:ascii="Candara" w:hAnsi="Candara" w:cs="Century Gothic"/>
          <w:sz w:val="20"/>
          <w:szCs w:val="20"/>
          <w:vertAlign w:val="superscript"/>
        </w:rPr>
      </w:pPr>
      <w:r w:rsidRPr="00C6329A">
        <w:rPr>
          <w:rFonts w:ascii="Candara" w:hAnsi="Candara" w:cs="Century Gothic"/>
          <w:sz w:val="20"/>
          <w:szCs w:val="20"/>
        </w:rPr>
        <w:t>Paris</w:t>
      </w:r>
      <w:r w:rsidR="003666F1">
        <w:rPr>
          <w:rFonts w:ascii="Candara" w:hAnsi="Candara" w:cs="Century Gothic"/>
          <w:sz w:val="20"/>
          <w:szCs w:val="20"/>
        </w:rPr>
        <w:t xml:space="preserve">, </w:t>
      </w:r>
      <w:r w:rsidR="000879CB">
        <w:rPr>
          <w:rFonts w:ascii="Candara" w:hAnsi="Candara" w:cs="Century Gothic"/>
          <w:sz w:val="20"/>
          <w:szCs w:val="20"/>
        </w:rPr>
        <w:t xml:space="preserve">le </w:t>
      </w:r>
      <w:r w:rsidR="00593340">
        <w:rPr>
          <w:rFonts w:ascii="Candara" w:hAnsi="Candara" w:cs="Century Gothic"/>
          <w:sz w:val="20"/>
          <w:szCs w:val="20"/>
        </w:rPr>
        <w:t>23 octobre</w:t>
      </w:r>
      <w:r w:rsidR="00241D36">
        <w:rPr>
          <w:rFonts w:ascii="Candara" w:hAnsi="Candara" w:cs="Century Gothic"/>
          <w:sz w:val="20"/>
          <w:szCs w:val="20"/>
        </w:rPr>
        <w:t xml:space="preserve"> </w:t>
      </w:r>
      <w:r w:rsidR="00A533F6">
        <w:rPr>
          <w:rFonts w:ascii="Candara" w:hAnsi="Candara" w:cs="Century Gothic"/>
          <w:sz w:val="20"/>
          <w:szCs w:val="20"/>
        </w:rPr>
        <w:t>2020</w:t>
      </w:r>
    </w:p>
    <w:p w14:paraId="71F4E188" w14:textId="77777777" w:rsidR="00442F00" w:rsidRPr="00DC06DF" w:rsidRDefault="00442F00" w:rsidP="00E54C1D">
      <w:pPr>
        <w:spacing w:line="20" w:lineRule="atLeast"/>
        <w:jc w:val="center"/>
        <w:rPr>
          <w:rFonts w:ascii="Candara" w:hAnsi="Candara"/>
          <w:b/>
          <w:color w:val="808080"/>
          <w:sz w:val="28"/>
          <w:szCs w:val="28"/>
        </w:rPr>
      </w:pPr>
      <w:r w:rsidRPr="00DC06DF">
        <w:rPr>
          <w:rFonts w:ascii="Candara" w:hAnsi="Candara"/>
          <w:b/>
          <w:color w:val="808080"/>
          <w:sz w:val="28"/>
          <w:szCs w:val="28"/>
        </w:rPr>
        <w:t>COMMUNIQU</w:t>
      </w:r>
      <w:r w:rsidR="00BB180B" w:rsidRPr="00BB180B">
        <w:rPr>
          <w:rFonts w:ascii="Candara" w:hAnsi="Candara"/>
          <w:b/>
          <w:color w:val="808080"/>
          <w:sz w:val="28"/>
          <w:szCs w:val="28"/>
        </w:rPr>
        <w:t>É</w:t>
      </w:r>
      <w:r w:rsidRPr="00DC06DF">
        <w:rPr>
          <w:rFonts w:ascii="Candara" w:hAnsi="Candara"/>
          <w:b/>
          <w:color w:val="808080"/>
          <w:sz w:val="28"/>
          <w:szCs w:val="28"/>
        </w:rPr>
        <w:t xml:space="preserve"> DE PRESSE</w:t>
      </w:r>
    </w:p>
    <w:p w14:paraId="5A7D1577" w14:textId="77777777" w:rsidR="00BF562D" w:rsidRDefault="00BF562D" w:rsidP="00E54C1D">
      <w:pPr>
        <w:spacing w:line="20" w:lineRule="atLeast"/>
      </w:pPr>
    </w:p>
    <w:p w14:paraId="0BAD6833" w14:textId="77777777" w:rsidR="00AF6730" w:rsidRDefault="00AF6730" w:rsidP="00E54C1D">
      <w:pPr>
        <w:spacing w:line="20" w:lineRule="atLeast"/>
      </w:pPr>
    </w:p>
    <w:p w14:paraId="16832A92" w14:textId="36BAEF63" w:rsidR="00442F00" w:rsidRDefault="003F0655" w:rsidP="00241D36">
      <w:pPr>
        <w:spacing w:line="20" w:lineRule="atLeast"/>
        <w:jc w:val="center"/>
        <w:rPr>
          <w:rFonts w:ascii="Candara" w:hAnsi="Candara" w:cs="Arial"/>
          <w:color w:val="2670BA"/>
          <w:sz w:val="28"/>
          <w:szCs w:val="30"/>
        </w:rPr>
      </w:pPr>
      <w:r>
        <w:rPr>
          <w:rFonts w:ascii="Candara" w:hAnsi="Candara" w:cs="Arial"/>
          <w:color w:val="2670BA"/>
          <w:sz w:val="28"/>
          <w:szCs w:val="30"/>
        </w:rPr>
        <w:t xml:space="preserve">Le juge des référés du Conseil d’Etat refuse de suspendre le </w:t>
      </w:r>
      <w:r w:rsidR="00EB5208">
        <w:rPr>
          <w:rFonts w:ascii="Candara" w:hAnsi="Candara" w:cs="Arial"/>
          <w:color w:val="2670BA"/>
          <w:sz w:val="28"/>
          <w:szCs w:val="30"/>
        </w:rPr>
        <w:t xml:space="preserve">décret </w:t>
      </w:r>
      <w:r w:rsidR="003C436E">
        <w:rPr>
          <w:rFonts w:ascii="Candara" w:hAnsi="Candara" w:cs="Arial"/>
          <w:color w:val="2670BA"/>
          <w:sz w:val="28"/>
          <w:szCs w:val="30"/>
        </w:rPr>
        <w:t>prescrivant aux</w:t>
      </w:r>
      <w:r w:rsidR="00EB5208">
        <w:rPr>
          <w:rFonts w:ascii="Candara" w:hAnsi="Candara" w:cs="Arial"/>
          <w:color w:val="2670BA"/>
          <w:sz w:val="28"/>
          <w:szCs w:val="30"/>
        </w:rPr>
        <w:t xml:space="preserve"> préfets de certains départements </w:t>
      </w:r>
      <w:r w:rsidR="003C436E">
        <w:rPr>
          <w:rFonts w:ascii="Candara" w:hAnsi="Candara" w:cs="Arial"/>
          <w:color w:val="2670BA"/>
          <w:sz w:val="28"/>
          <w:szCs w:val="30"/>
        </w:rPr>
        <w:t>d’</w:t>
      </w:r>
      <w:r w:rsidR="00EB5208">
        <w:rPr>
          <w:rFonts w:ascii="Candara" w:hAnsi="Candara" w:cs="Arial"/>
          <w:color w:val="2670BA"/>
          <w:sz w:val="28"/>
          <w:szCs w:val="30"/>
        </w:rPr>
        <w:t>instaurer un couvre-feu</w:t>
      </w:r>
    </w:p>
    <w:p w14:paraId="4104E5CD" w14:textId="77777777" w:rsidR="00495165" w:rsidRDefault="00495165" w:rsidP="00E54C1D">
      <w:pPr>
        <w:spacing w:line="20" w:lineRule="atLeast"/>
        <w:jc w:val="both"/>
        <w:rPr>
          <w:rFonts w:ascii="Candara" w:hAnsi="Candara" w:cs="Arial"/>
          <w:b/>
        </w:rPr>
      </w:pPr>
    </w:p>
    <w:p w14:paraId="39F9A37B" w14:textId="6B30F933" w:rsidR="00EB5208" w:rsidRDefault="003F0655" w:rsidP="00687FDF">
      <w:pPr>
        <w:spacing w:line="20" w:lineRule="atLeast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 xml:space="preserve">Par </w:t>
      </w:r>
      <w:r w:rsidR="00953039">
        <w:rPr>
          <w:rFonts w:ascii="Candara" w:hAnsi="Candara" w:cs="Arial"/>
        </w:rPr>
        <w:t>l’article 51 d’un</w:t>
      </w:r>
      <w:r>
        <w:rPr>
          <w:rFonts w:ascii="Candara" w:hAnsi="Candara" w:cs="Arial"/>
        </w:rPr>
        <w:t xml:space="preserve"> décret du 16 octobre 2020, le Premier ministre a </w:t>
      </w:r>
      <w:r w:rsidR="00953039">
        <w:rPr>
          <w:rFonts w:ascii="Candara" w:hAnsi="Candara" w:cs="Arial"/>
        </w:rPr>
        <w:t>prescrit</w:t>
      </w:r>
      <w:r>
        <w:rPr>
          <w:rFonts w:ascii="Candara" w:hAnsi="Candara" w:cs="Arial"/>
        </w:rPr>
        <w:t xml:space="preserve"> aux préfets de seize départements</w:t>
      </w:r>
      <w:r>
        <w:rPr>
          <w:rStyle w:val="Appelnotedebasdep"/>
          <w:rFonts w:ascii="Candara" w:hAnsi="Candara" w:cs="Arial"/>
        </w:rPr>
        <w:footnoteReference w:id="1"/>
      </w:r>
      <w:r w:rsidR="00030719">
        <w:rPr>
          <w:rFonts w:ascii="Candara" w:hAnsi="Candara" w:cs="Arial"/>
        </w:rPr>
        <w:t xml:space="preserve"> d’instaurer un couvre-feu entre 21h et 6h </w:t>
      </w:r>
      <w:r w:rsidR="00030719" w:rsidRPr="00030719">
        <w:rPr>
          <w:rFonts w:ascii="Candara" w:hAnsi="Candara" w:cs="Arial"/>
        </w:rPr>
        <w:t xml:space="preserve">dans </w:t>
      </w:r>
      <w:r w:rsidR="00A91E31">
        <w:rPr>
          <w:rFonts w:ascii="Candara" w:hAnsi="Candara" w:cs="Arial"/>
        </w:rPr>
        <w:t>des</w:t>
      </w:r>
      <w:r w:rsidR="00030719" w:rsidRPr="00030719">
        <w:rPr>
          <w:rFonts w:ascii="Candara" w:hAnsi="Candara" w:cs="Arial"/>
        </w:rPr>
        <w:t xml:space="preserve"> zones qu’il</w:t>
      </w:r>
      <w:r w:rsidR="00A91E31">
        <w:rPr>
          <w:rFonts w:ascii="Candara" w:hAnsi="Candara" w:cs="Arial"/>
        </w:rPr>
        <w:t xml:space="preserve"> leur incombe de définir</w:t>
      </w:r>
      <w:r w:rsidR="00030719">
        <w:rPr>
          <w:rFonts w:ascii="Candara" w:hAnsi="Candara" w:cs="Arial"/>
        </w:rPr>
        <w:t xml:space="preserve">. </w:t>
      </w:r>
      <w:r w:rsidR="000D2863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 xml:space="preserve">Une association et plusieurs requérants individuels ont demandé au juge du référé-liberté du Conseil </w:t>
      </w:r>
      <w:r w:rsidR="00030719">
        <w:rPr>
          <w:rFonts w:ascii="Candara" w:hAnsi="Candara" w:cs="Arial"/>
        </w:rPr>
        <w:t xml:space="preserve">d’Etat </w:t>
      </w:r>
      <w:r>
        <w:rPr>
          <w:rFonts w:ascii="Candara" w:hAnsi="Candara" w:cs="Arial"/>
        </w:rPr>
        <w:t>de suspendre cette mesure ou d’en limiter la portée</w:t>
      </w:r>
      <w:r w:rsidR="00030719">
        <w:rPr>
          <w:rFonts w:ascii="Candara" w:hAnsi="Candara" w:cs="Arial"/>
        </w:rPr>
        <w:t xml:space="preserve"> en </w:t>
      </w:r>
      <w:r w:rsidR="003A3BD1">
        <w:rPr>
          <w:rFonts w:ascii="Candara" w:hAnsi="Candara" w:cs="Arial"/>
        </w:rPr>
        <w:t xml:space="preserve">restreignant sa </w:t>
      </w:r>
      <w:r w:rsidR="00030719">
        <w:rPr>
          <w:rFonts w:ascii="Candara" w:hAnsi="Candara" w:cs="Arial"/>
        </w:rPr>
        <w:t>plage horaire</w:t>
      </w:r>
      <w:r w:rsidR="003A3BD1">
        <w:rPr>
          <w:rFonts w:ascii="Candara" w:hAnsi="Candara" w:cs="Arial"/>
        </w:rPr>
        <w:t xml:space="preserve"> et en prévoyant de nouveau</w:t>
      </w:r>
      <w:r w:rsidR="007F446E">
        <w:rPr>
          <w:rFonts w:ascii="Candara" w:hAnsi="Candara" w:cs="Arial"/>
        </w:rPr>
        <w:t>x</w:t>
      </w:r>
      <w:r w:rsidR="003A3BD1">
        <w:rPr>
          <w:rFonts w:ascii="Candara" w:hAnsi="Candara" w:cs="Arial"/>
        </w:rPr>
        <w:t xml:space="preserve"> motifs de dérogation</w:t>
      </w:r>
      <w:r>
        <w:rPr>
          <w:rFonts w:ascii="Candara" w:hAnsi="Candara" w:cs="Arial"/>
        </w:rPr>
        <w:t xml:space="preserve">. </w:t>
      </w:r>
      <w:r w:rsidR="00F06E48">
        <w:rPr>
          <w:rFonts w:ascii="Candara" w:hAnsi="Candara" w:cs="Arial"/>
        </w:rPr>
        <w:t>Par l’ordonnance de ce jour, le juge des référés rejette leur demande.</w:t>
      </w:r>
    </w:p>
    <w:p w14:paraId="0B4F14CB" w14:textId="268218D8" w:rsidR="00EB5208" w:rsidRDefault="00EB5208" w:rsidP="00687FDF">
      <w:pPr>
        <w:spacing w:line="20" w:lineRule="atLeast"/>
        <w:jc w:val="both"/>
        <w:rPr>
          <w:rFonts w:ascii="Candara" w:hAnsi="Candara" w:cs="Arial"/>
        </w:rPr>
      </w:pPr>
    </w:p>
    <w:p w14:paraId="67FFDA0D" w14:textId="48C377EA" w:rsidR="00EB5208" w:rsidRDefault="00F06E48" w:rsidP="00687FDF">
      <w:pPr>
        <w:spacing w:line="20" w:lineRule="atLeast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E</w:t>
      </w:r>
      <w:r w:rsidR="00EB5208">
        <w:rPr>
          <w:rFonts w:ascii="Candara" w:hAnsi="Candara" w:cs="Arial"/>
        </w:rPr>
        <w:t>n période</w:t>
      </w:r>
      <w:r w:rsidR="00EB5208" w:rsidRPr="00EB5208">
        <w:rPr>
          <w:rFonts w:ascii="Candara" w:hAnsi="Candara" w:cs="Arial"/>
        </w:rPr>
        <w:t xml:space="preserve"> d’état d’urgence sanitaire, il appartient aux différentes autorités </w:t>
      </w:r>
      <w:r w:rsidR="00EB5208">
        <w:rPr>
          <w:rFonts w:ascii="Candara" w:hAnsi="Candara" w:cs="Arial"/>
        </w:rPr>
        <w:t>administratives</w:t>
      </w:r>
      <w:r w:rsidR="00EB5208" w:rsidRPr="00EB5208">
        <w:rPr>
          <w:rFonts w:ascii="Candara" w:hAnsi="Candara" w:cs="Arial"/>
        </w:rPr>
        <w:t xml:space="preserve"> de prendre, en vue de sauvegarder la santé de la population, toutes dispositions de nature à prévenir ou à limiter les effets de l’épidémie. </w:t>
      </w:r>
      <w:r w:rsidR="00EB5208">
        <w:rPr>
          <w:rFonts w:ascii="Candara" w:hAnsi="Candara" w:cs="Arial"/>
        </w:rPr>
        <w:t xml:space="preserve">A cet effet, elles peuvent notamment adopter </w:t>
      </w:r>
      <w:r w:rsidR="00EB5208" w:rsidRPr="00EB5208">
        <w:rPr>
          <w:rFonts w:ascii="Candara" w:hAnsi="Candara" w:cs="Arial"/>
        </w:rPr>
        <w:t xml:space="preserve">une mesure générale </w:t>
      </w:r>
      <w:r w:rsidR="00EB5208">
        <w:rPr>
          <w:rFonts w:ascii="Candara" w:hAnsi="Candara" w:cs="Arial"/>
        </w:rPr>
        <w:t xml:space="preserve">faisant </w:t>
      </w:r>
      <w:r w:rsidR="00EB5208" w:rsidRPr="00EB5208">
        <w:rPr>
          <w:rFonts w:ascii="Candara" w:hAnsi="Candara" w:cs="Arial"/>
        </w:rPr>
        <w:t>interdiction aux personnes de sortir de leur domicile durant certaines heures</w:t>
      </w:r>
      <w:r w:rsidR="00EB5208">
        <w:rPr>
          <w:rFonts w:ascii="Candara" w:hAnsi="Candara" w:cs="Arial"/>
        </w:rPr>
        <w:t>. Mais une telle mesure</w:t>
      </w:r>
      <w:r w:rsidR="00EB5208" w:rsidRPr="00EB5208">
        <w:rPr>
          <w:rFonts w:ascii="Candara" w:hAnsi="Candara" w:cs="Arial"/>
        </w:rPr>
        <w:t xml:space="preserve"> qui, par nature, porte atteinte à la liberté </w:t>
      </w:r>
      <w:r w:rsidR="00953039">
        <w:rPr>
          <w:rFonts w:ascii="Candara" w:hAnsi="Candara" w:cs="Arial"/>
        </w:rPr>
        <w:t>personnelle</w:t>
      </w:r>
      <w:r w:rsidR="00EB5208">
        <w:rPr>
          <w:rFonts w:ascii="Candara" w:hAnsi="Candara" w:cs="Arial"/>
        </w:rPr>
        <w:t>, doit</w:t>
      </w:r>
      <w:r w:rsidR="00EB5208" w:rsidRPr="00EB5208">
        <w:rPr>
          <w:rFonts w:ascii="Candara" w:hAnsi="Candara" w:cs="Arial"/>
        </w:rPr>
        <w:t xml:space="preserve"> être nécessaire, adaptée et proportionnée à l’objectif </w:t>
      </w:r>
      <w:r w:rsidR="000D2863">
        <w:rPr>
          <w:rFonts w:ascii="Candara" w:hAnsi="Candara" w:cs="Arial"/>
        </w:rPr>
        <w:t>poursuivi</w:t>
      </w:r>
      <w:r w:rsidR="00EB5208">
        <w:rPr>
          <w:rFonts w:ascii="Candara" w:hAnsi="Candara" w:cs="Arial"/>
        </w:rPr>
        <w:t>.</w:t>
      </w:r>
    </w:p>
    <w:p w14:paraId="0EAD3976" w14:textId="77777777" w:rsidR="00EB5208" w:rsidRDefault="00EB5208" w:rsidP="00687FDF">
      <w:pPr>
        <w:spacing w:line="20" w:lineRule="atLeast"/>
        <w:jc w:val="both"/>
        <w:rPr>
          <w:rFonts w:ascii="Candara" w:hAnsi="Candara" w:cs="Arial"/>
        </w:rPr>
      </w:pPr>
    </w:p>
    <w:p w14:paraId="16AB956D" w14:textId="0683AB64" w:rsidR="00030719" w:rsidRDefault="00EB5208" w:rsidP="00687FDF">
      <w:pPr>
        <w:spacing w:line="20" w:lineRule="atLeast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Le juge</w:t>
      </w:r>
      <w:r w:rsidR="00F06E48">
        <w:rPr>
          <w:rFonts w:ascii="Candara" w:hAnsi="Candara" w:cs="Arial"/>
        </w:rPr>
        <w:t xml:space="preserve"> des référés</w:t>
      </w:r>
      <w:r w:rsidR="00030719">
        <w:rPr>
          <w:rFonts w:ascii="Candara" w:hAnsi="Candara" w:cs="Arial"/>
        </w:rPr>
        <w:t xml:space="preserve"> relève</w:t>
      </w:r>
      <w:r w:rsidR="00F06E48">
        <w:rPr>
          <w:rFonts w:ascii="Candara" w:hAnsi="Candara" w:cs="Arial"/>
        </w:rPr>
        <w:t xml:space="preserve"> d’abord </w:t>
      </w:r>
      <w:r w:rsidR="00030719">
        <w:rPr>
          <w:rFonts w:ascii="Candara" w:hAnsi="Candara" w:cs="Arial"/>
        </w:rPr>
        <w:t xml:space="preserve">que </w:t>
      </w:r>
      <w:r w:rsidR="00030719" w:rsidRPr="00030719">
        <w:rPr>
          <w:rFonts w:ascii="Candara" w:hAnsi="Candara" w:cs="Arial"/>
        </w:rPr>
        <w:t>la circulation du virus sur le territoire métropolitain s’est amplifiée ces dernières semaines</w:t>
      </w:r>
      <w:r w:rsidR="0040524D">
        <w:rPr>
          <w:rFonts w:ascii="Candara" w:hAnsi="Candara" w:cs="Arial"/>
        </w:rPr>
        <w:t xml:space="preserve">, et </w:t>
      </w:r>
      <w:r w:rsidR="00030719" w:rsidRPr="00030719">
        <w:rPr>
          <w:rFonts w:ascii="Candara" w:hAnsi="Candara" w:cs="Arial"/>
        </w:rPr>
        <w:t>que la crise sanitaire</w:t>
      </w:r>
      <w:r w:rsidR="0040524D">
        <w:rPr>
          <w:rFonts w:ascii="Candara" w:hAnsi="Candara" w:cs="Arial"/>
        </w:rPr>
        <w:t xml:space="preserve"> s’aggrave nettement</w:t>
      </w:r>
      <w:r w:rsidR="00030719">
        <w:rPr>
          <w:rFonts w:ascii="Candara" w:hAnsi="Candara" w:cs="Arial"/>
        </w:rPr>
        <w:t xml:space="preserve">, en particulier dans </w:t>
      </w:r>
      <w:r w:rsidR="00030719" w:rsidRPr="00030719">
        <w:rPr>
          <w:rFonts w:ascii="Candara" w:hAnsi="Candara" w:cs="Arial"/>
        </w:rPr>
        <w:t>les neuf métropoles</w:t>
      </w:r>
      <w:r w:rsidR="00030719">
        <w:rPr>
          <w:rFonts w:ascii="Candara" w:hAnsi="Candara" w:cs="Arial"/>
        </w:rPr>
        <w:t xml:space="preserve"> </w:t>
      </w:r>
      <w:r w:rsidR="0040524D">
        <w:rPr>
          <w:rFonts w:ascii="Candara" w:hAnsi="Candara" w:cs="Arial"/>
        </w:rPr>
        <w:t>des</w:t>
      </w:r>
      <w:r w:rsidR="00030719">
        <w:rPr>
          <w:rFonts w:ascii="Candara" w:hAnsi="Candara" w:cs="Arial"/>
        </w:rPr>
        <w:t xml:space="preserve"> départements concernés. </w:t>
      </w:r>
      <w:r w:rsidR="00F06E48">
        <w:rPr>
          <w:rFonts w:ascii="Candara" w:hAnsi="Candara" w:cs="Arial"/>
        </w:rPr>
        <w:t xml:space="preserve">Il </w:t>
      </w:r>
      <w:r w:rsidR="000D2863">
        <w:rPr>
          <w:rFonts w:ascii="Candara" w:hAnsi="Candara" w:cs="Arial"/>
        </w:rPr>
        <w:t>constate</w:t>
      </w:r>
      <w:r w:rsidR="00030719">
        <w:rPr>
          <w:rFonts w:ascii="Candara" w:hAnsi="Candara" w:cs="Arial"/>
        </w:rPr>
        <w:t xml:space="preserve"> qu’en l’état actuel des connaissances scientifiques, </w:t>
      </w:r>
      <w:r w:rsidR="00030719" w:rsidRPr="00030719">
        <w:rPr>
          <w:rFonts w:ascii="Candara" w:hAnsi="Candara" w:cs="Arial"/>
        </w:rPr>
        <w:t xml:space="preserve">les </w:t>
      </w:r>
      <w:r w:rsidR="005E5A52">
        <w:rPr>
          <w:rFonts w:ascii="Candara" w:hAnsi="Candara" w:cs="Arial"/>
        </w:rPr>
        <w:t>contaminations surviennent, pour une grande part, dans les lieux privés</w:t>
      </w:r>
      <w:r w:rsidR="00030719">
        <w:rPr>
          <w:rFonts w:ascii="Candara" w:hAnsi="Candara" w:cs="Arial"/>
        </w:rPr>
        <w:t>. Il précise</w:t>
      </w:r>
      <w:r w:rsidR="00F06E48">
        <w:rPr>
          <w:rFonts w:ascii="Candara" w:hAnsi="Candara" w:cs="Arial"/>
        </w:rPr>
        <w:t xml:space="preserve"> </w:t>
      </w:r>
      <w:r w:rsidR="00030719">
        <w:rPr>
          <w:rFonts w:ascii="Candara" w:hAnsi="Candara" w:cs="Arial"/>
        </w:rPr>
        <w:t>qu’une mesure de couvre-feu</w:t>
      </w:r>
      <w:r w:rsidR="007F446E">
        <w:rPr>
          <w:rFonts w:ascii="Candara" w:hAnsi="Candara" w:cs="Arial"/>
        </w:rPr>
        <w:t xml:space="preserve"> </w:t>
      </w:r>
      <w:r w:rsidR="00030719" w:rsidRPr="00030719">
        <w:rPr>
          <w:rFonts w:ascii="Candara" w:hAnsi="Candara" w:cs="Arial"/>
        </w:rPr>
        <w:t>semble avoir montré son efficacité</w:t>
      </w:r>
      <w:r w:rsidR="00030719">
        <w:rPr>
          <w:rFonts w:ascii="Candara" w:hAnsi="Candara" w:cs="Arial"/>
        </w:rPr>
        <w:t xml:space="preserve"> pour limiter la propagation du virus lors de sa mise en œuvre </w:t>
      </w:r>
      <w:r w:rsidR="007F446E">
        <w:rPr>
          <w:rFonts w:ascii="Candara" w:hAnsi="Candara" w:cs="Arial"/>
        </w:rPr>
        <w:t>en Guyane en mars dernier.</w:t>
      </w:r>
    </w:p>
    <w:p w14:paraId="5A5CB648" w14:textId="31C9D5A1" w:rsidR="00F06E48" w:rsidRDefault="00F06E48" w:rsidP="00687FDF">
      <w:pPr>
        <w:spacing w:line="20" w:lineRule="atLeast"/>
        <w:jc w:val="both"/>
        <w:rPr>
          <w:rFonts w:ascii="Candara" w:hAnsi="Candara" w:cs="Arial"/>
        </w:rPr>
      </w:pPr>
    </w:p>
    <w:p w14:paraId="2715436D" w14:textId="59E84F4B" w:rsidR="00F06E48" w:rsidRDefault="00F06E48" w:rsidP="00687FDF">
      <w:pPr>
        <w:spacing w:line="20" w:lineRule="atLeast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Le juge constate par ailleurs</w:t>
      </w:r>
      <w:r w:rsidRPr="00F06E48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>que la mesure est assortie</w:t>
      </w:r>
      <w:r w:rsidRPr="00F06E48">
        <w:rPr>
          <w:rFonts w:ascii="Candara" w:hAnsi="Candara" w:cs="Arial"/>
        </w:rPr>
        <w:t xml:space="preserve"> de nombreuses dérogations</w:t>
      </w:r>
      <w:r>
        <w:rPr>
          <w:rFonts w:ascii="Candara" w:hAnsi="Candara" w:cs="Arial"/>
        </w:rPr>
        <w:t xml:space="preserve"> </w:t>
      </w:r>
      <w:r w:rsidRPr="00F06E48">
        <w:rPr>
          <w:rFonts w:ascii="Candara" w:hAnsi="Candara" w:cs="Arial"/>
        </w:rPr>
        <w:t>correspondant à des déplacements indispensables</w:t>
      </w:r>
      <w:r>
        <w:rPr>
          <w:rFonts w:ascii="Candara" w:hAnsi="Candara" w:cs="Arial"/>
        </w:rPr>
        <w:t>, qu’elle est</w:t>
      </w:r>
      <w:r w:rsidRPr="00F06E48">
        <w:rPr>
          <w:rFonts w:ascii="Candara" w:hAnsi="Candara" w:cs="Arial"/>
        </w:rPr>
        <w:t xml:space="preserve"> limitée dans le temps</w:t>
      </w:r>
      <w:r>
        <w:rPr>
          <w:rFonts w:ascii="Candara" w:hAnsi="Candara" w:cs="Arial"/>
        </w:rPr>
        <w:t xml:space="preserve"> à la période</w:t>
      </w:r>
      <w:r w:rsidRPr="00F06E48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>d</w:t>
      </w:r>
      <w:r w:rsidRPr="00F06E48">
        <w:rPr>
          <w:rFonts w:ascii="Candara" w:hAnsi="Candara" w:cs="Arial"/>
        </w:rPr>
        <w:t xml:space="preserve">’état d’urgence sanitaire, </w:t>
      </w:r>
      <w:r>
        <w:rPr>
          <w:rFonts w:ascii="Candara" w:hAnsi="Candara" w:cs="Arial"/>
        </w:rPr>
        <w:t>et qu’elle</w:t>
      </w:r>
      <w:r w:rsidRPr="00F06E48">
        <w:rPr>
          <w:rFonts w:ascii="Candara" w:hAnsi="Candara" w:cs="Arial"/>
        </w:rPr>
        <w:t xml:space="preserve"> revêt un caractère moins restrictif qu’un confinement</w:t>
      </w:r>
      <w:r>
        <w:rPr>
          <w:rFonts w:ascii="Candara" w:hAnsi="Candara" w:cs="Arial"/>
        </w:rPr>
        <w:t>.</w:t>
      </w:r>
    </w:p>
    <w:p w14:paraId="4F9033AA" w14:textId="77777777" w:rsidR="00030719" w:rsidRDefault="00030719" w:rsidP="00687FDF">
      <w:pPr>
        <w:spacing w:line="20" w:lineRule="atLeast"/>
        <w:jc w:val="both"/>
        <w:rPr>
          <w:rFonts w:ascii="Candara" w:hAnsi="Candara" w:cs="Arial"/>
        </w:rPr>
      </w:pPr>
    </w:p>
    <w:p w14:paraId="7429E9ED" w14:textId="193EB3F8" w:rsidR="00F06E48" w:rsidRDefault="00F06E48" w:rsidP="00687FDF">
      <w:pPr>
        <w:spacing w:line="20" w:lineRule="atLeast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 xml:space="preserve">Enfin, le juge souligne la difficulté </w:t>
      </w:r>
      <w:r w:rsidRPr="00F06E48">
        <w:rPr>
          <w:rFonts w:ascii="Candara" w:hAnsi="Candara" w:cs="Arial"/>
        </w:rPr>
        <w:t>de moduler les horaires d’interdiction selon les zones géographiques concernées</w:t>
      </w:r>
      <w:r>
        <w:rPr>
          <w:rFonts w:ascii="Candara" w:hAnsi="Candara" w:cs="Arial"/>
        </w:rPr>
        <w:t xml:space="preserve">, le risque </w:t>
      </w:r>
      <w:r w:rsidRPr="00F06E48">
        <w:rPr>
          <w:rFonts w:ascii="Candara" w:hAnsi="Candara" w:cs="Arial"/>
        </w:rPr>
        <w:t>que ferait courir une extension des motifs de dérogation,</w:t>
      </w:r>
      <w:r>
        <w:rPr>
          <w:rFonts w:ascii="Candara" w:hAnsi="Candara" w:cs="Arial"/>
        </w:rPr>
        <w:t xml:space="preserve"> et l’obligation pour </w:t>
      </w:r>
      <w:r w:rsidR="00DD6C3A">
        <w:rPr>
          <w:rFonts w:ascii="Candara" w:hAnsi="Candara" w:cs="Arial"/>
        </w:rPr>
        <w:t>le Premier ministre et pour les préfets</w:t>
      </w:r>
      <w:r>
        <w:rPr>
          <w:rFonts w:ascii="Candara" w:hAnsi="Candara" w:cs="Arial"/>
        </w:rPr>
        <w:t xml:space="preserve"> de mettre fin sans délai</w:t>
      </w:r>
      <w:r w:rsidR="00DD6C3A">
        <w:rPr>
          <w:rFonts w:ascii="Candara" w:hAnsi="Candara" w:cs="Arial"/>
        </w:rPr>
        <w:t xml:space="preserve"> aux mesures</w:t>
      </w:r>
      <w:r>
        <w:rPr>
          <w:rFonts w:ascii="Candara" w:hAnsi="Candara" w:cs="Arial"/>
        </w:rPr>
        <w:t xml:space="preserve"> dès qu’elles ne seront plus strictement nécessaires.</w:t>
      </w:r>
    </w:p>
    <w:p w14:paraId="299F7EEE" w14:textId="77777777" w:rsidR="00F06E48" w:rsidRDefault="00F06E48" w:rsidP="00687FDF">
      <w:pPr>
        <w:spacing w:line="20" w:lineRule="atLeast"/>
        <w:jc w:val="both"/>
        <w:rPr>
          <w:rFonts w:ascii="Candara" w:hAnsi="Candara" w:cs="Arial"/>
        </w:rPr>
      </w:pPr>
    </w:p>
    <w:p w14:paraId="6A1ADC05" w14:textId="4D37F289" w:rsidR="00030719" w:rsidRDefault="00AE3539" w:rsidP="00687FDF">
      <w:pPr>
        <w:spacing w:line="20" w:lineRule="atLeast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Le juge</w:t>
      </w:r>
      <w:r w:rsidR="00F06E48">
        <w:rPr>
          <w:rFonts w:ascii="Candara" w:hAnsi="Candara" w:cs="Arial"/>
        </w:rPr>
        <w:t xml:space="preserve"> </w:t>
      </w:r>
      <w:r w:rsidR="00030719">
        <w:rPr>
          <w:rFonts w:ascii="Candara" w:hAnsi="Candara" w:cs="Arial"/>
        </w:rPr>
        <w:t>en déduit que</w:t>
      </w:r>
      <w:r w:rsidR="00F06E48">
        <w:rPr>
          <w:rFonts w:ascii="Candara" w:hAnsi="Candara" w:cs="Arial"/>
        </w:rPr>
        <w:t xml:space="preserve"> </w:t>
      </w:r>
      <w:r w:rsidR="00953039">
        <w:rPr>
          <w:rFonts w:ascii="Candara" w:hAnsi="Candara" w:cs="Arial"/>
        </w:rPr>
        <w:t>la disposition prescrivant aux</w:t>
      </w:r>
      <w:r w:rsidR="00F06E48">
        <w:rPr>
          <w:rFonts w:ascii="Candara" w:hAnsi="Candara" w:cs="Arial"/>
        </w:rPr>
        <w:t xml:space="preserve"> préfets </w:t>
      </w:r>
      <w:r w:rsidR="00953039">
        <w:rPr>
          <w:rFonts w:ascii="Candara" w:hAnsi="Candara" w:cs="Arial"/>
        </w:rPr>
        <w:t>d’</w:t>
      </w:r>
      <w:r w:rsidR="00F06E48">
        <w:rPr>
          <w:rFonts w:ascii="Candara" w:hAnsi="Candara" w:cs="Arial"/>
        </w:rPr>
        <w:t xml:space="preserve">instaurer </w:t>
      </w:r>
      <w:r w:rsidR="001426CE">
        <w:rPr>
          <w:rFonts w:ascii="Candara" w:hAnsi="Candara" w:cs="Arial"/>
        </w:rPr>
        <w:t>un</w:t>
      </w:r>
      <w:r w:rsidR="00F06E48">
        <w:rPr>
          <w:rFonts w:ascii="Candara" w:hAnsi="Candara" w:cs="Arial"/>
        </w:rPr>
        <w:t xml:space="preserve"> couvre-feu</w:t>
      </w:r>
      <w:r w:rsidR="00030719">
        <w:rPr>
          <w:rFonts w:ascii="Candara" w:hAnsi="Candara" w:cs="Arial"/>
        </w:rPr>
        <w:t xml:space="preserve"> </w:t>
      </w:r>
      <w:r w:rsidR="00953039">
        <w:rPr>
          <w:rFonts w:ascii="Candara" w:hAnsi="Candara" w:cs="Arial"/>
        </w:rPr>
        <w:t>ne porte pas une atteinte manifestement illégale aux libertés fondamentales.</w:t>
      </w:r>
    </w:p>
    <w:p w14:paraId="23778ECC" w14:textId="77777777" w:rsidR="001563F6" w:rsidRDefault="001563F6" w:rsidP="00687FDF">
      <w:pPr>
        <w:spacing w:line="20" w:lineRule="atLeast"/>
        <w:jc w:val="both"/>
        <w:rPr>
          <w:rFonts w:ascii="Candara" w:hAnsi="Candara" w:cs="Arial"/>
        </w:rPr>
      </w:pPr>
    </w:p>
    <w:p w14:paraId="3CADFFED" w14:textId="77777777" w:rsidR="00495165" w:rsidRPr="00687FDF" w:rsidRDefault="00495165" w:rsidP="00A72B63">
      <w:pPr>
        <w:spacing w:line="20" w:lineRule="atLeast"/>
        <w:jc w:val="both"/>
        <w:rPr>
          <w:rFonts w:ascii="Candara" w:hAnsi="Candara" w:cs="Arial"/>
          <w:bCs/>
        </w:rPr>
      </w:pPr>
    </w:p>
    <w:p w14:paraId="7A3FFC70" w14:textId="77777777" w:rsidR="0048228B" w:rsidRDefault="0048228B" w:rsidP="00E54C1D">
      <w:pPr>
        <w:spacing w:line="20" w:lineRule="atLeast"/>
        <w:jc w:val="center"/>
        <w:rPr>
          <w:rFonts w:ascii="Candara" w:hAnsi="Candara" w:cs="Arial"/>
          <w:b/>
          <w:sz w:val="22"/>
          <w:szCs w:val="22"/>
        </w:rPr>
      </w:pPr>
    </w:p>
    <w:p w14:paraId="03C4509F" w14:textId="77777777" w:rsidR="001234F2" w:rsidRDefault="001234F2" w:rsidP="00E54C1D">
      <w:pPr>
        <w:spacing w:line="20" w:lineRule="atLeast"/>
        <w:jc w:val="center"/>
        <w:rPr>
          <w:rFonts w:ascii="Candara" w:hAnsi="Candara" w:cs="Arial"/>
          <w:b/>
          <w:sz w:val="22"/>
          <w:szCs w:val="22"/>
        </w:rPr>
      </w:pPr>
    </w:p>
    <w:p w14:paraId="1D55A806" w14:textId="77777777" w:rsidR="00442F00" w:rsidRPr="00C6329A" w:rsidRDefault="00442F00" w:rsidP="00E54C1D">
      <w:pPr>
        <w:spacing w:line="20" w:lineRule="atLeast"/>
        <w:jc w:val="center"/>
        <w:rPr>
          <w:rFonts w:ascii="Candara" w:hAnsi="Candara" w:cs="Arial"/>
          <w:b/>
          <w:sz w:val="22"/>
          <w:szCs w:val="22"/>
        </w:rPr>
      </w:pPr>
      <w:r w:rsidRPr="00C6329A">
        <w:rPr>
          <w:rFonts w:ascii="Candara" w:hAnsi="Candara" w:cs="Arial"/>
          <w:b/>
          <w:sz w:val="22"/>
          <w:szCs w:val="22"/>
        </w:rPr>
        <w:t>Contacts presse</w:t>
      </w:r>
    </w:p>
    <w:p w14:paraId="7A1BB3DC" w14:textId="77777777" w:rsidR="00442F00" w:rsidRPr="00593340" w:rsidRDefault="00442F00" w:rsidP="00E54C1D">
      <w:pPr>
        <w:spacing w:line="20" w:lineRule="atLeast"/>
        <w:jc w:val="center"/>
        <w:rPr>
          <w:rFonts w:ascii="Candara" w:hAnsi="Candara" w:cs="Arial"/>
          <w:sz w:val="22"/>
          <w:szCs w:val="22"/>
          <w:lang w:val="es-ES"/>
        </w:rPr>
      </w:pPr>
      <w:r w:rsidRPr="00593340">
        <w:rPr>
          <w:rFonts w:ascii="Candara" w:hAnsi="Candara" w:cs="Arial"/>
          <w:sz w:val="22"/>
          <w:szCs w:val="22"/>
          <w:lang w:val="es-ES"/>
        </w:rPr>
        <w:t xml:space="preserve">Xabi </w:t>
      </w:r>
      <w:proofErr w:type="spellStart"/>
      <w:r w:rsidRPr="00593340">
        <w:rPr>
          <w:rFonts w:ascii="Candara" w:hAnsi="Candara" w:cs="Arial"/>
          <w:sz w:val="22"/>
          <w:szCs w:val="22"/>
          <w:lang w:val="es-ES"/>
        </w:rPr>
        <w:t>Velazquez</w:t>
      </w:r>
      <w:proofErr w:type="spellEnd"/>
      <w:r w:rsidRPr="00593340">
        <w:rPr>
          <w:rFonts w:ascii="Candara" w:hAnsi="Candara" w:cs="Arial"/>
          <w:sz w:val="22"/>
          <w:szCs w:val="22"/>
          <w:lang w:val="es-ES"/>
        </w:rPr>
        <w:t xml:space="preserve"> – tel. 01 72 60 58 34 – </w:t>
      </w:r>
      <w:hyperlink r:id="rId9" w:history="1">
        <w:r w:rsidRPr="00593340">
          <w:rPr>
            <w:rStyle w:val="Lienhypertexte"/>
            <w:rFonts w:ascii="Candara" w:hAnsi="Candara" w:cs="Arial"/>
            <w:sz w:val="22"/>
            <w:szCs w:val="22"/>
            <w:lang w:val="es-ES"/>
          </w:rPr>
          <w:t>xabi.velazquez@conseil-etat.fr</w:t>
        </w:r>
      </w:hyperlink>
    </w:p>
    <w:p w14:paraId="13CFFC48" w14:textId="77777777" w:rsidR="00442F00" w:rsidRPr="00C6329A" w:rsidRDefault="00442F00" w:rsidP="00E54C1D">
      <w:pPr>
        <w:spacing w:line="20" w:lineRule="atLeast"/>
        <w:jc w:val="center"/>
        <w:rPr>
          <w:rFonts w:ascii="Candara" w:hAnsi="Candara" w:cs="Arial"/>
          <w:sz w:val="22"/>
          <w:szCs w:val="22"/>
        </w:rPr>
      </w:pPr>
      <w:r w:rsidRPr="00C6329A">
        <w:rPr>
          <w:rFonts w:ascii="Candara" w:hAnsi="Candara" w:cs="Arial"/>
          <w:sz w:val="22"/>
          <w:szCs w:val="22"/>
        </w:rPr>
        <w:t xml:space="preserve">Paul </w:t>
      </w:r>
      <w:proofErr w:type="spellStart"/>
      <w:r w:rsidRPr="00C6329A">
        <w:rPr>
          <w:rFonts w:ascii="Candara" w:hAnsi="Candara" w:cs="Arial"/>
          <w:sz w:val="22"/>
          <w:szCs w:val="22"/>
        </w:rPr>
        <w:t>Parikhah</w:t>
      </w:r>
      <w:proofErr w:type="spellEnd"/>
      <w:r w:rsidRPr="00C6329A">
        <w:rPr>
          <w:rFonts w:ascii="Candara" w:hAnsi="Candara" w:cs="Arial"/>
          <w:sz w:val="22"/>
          <w:szCs w:val="22"/>
        </w:rPr>
        <w:t xml:space="preserve"> – tel. 01 72 60 58 31 – </w:t>
      </w:r>
      <w:hyperlink r:id="rId10" w:history="1">
        <w:r w:rsidRPr="00F410AD">
          <w:rPr>
            <w:rStyle w:val="Lienhypertexte"/>
            <w:rFonts w:ascii="Candara" w:hAnsi="Candara" w:cs="Arial"/>
            <w:sz w:val="22"/>
            <w:szCs w:val="22"/>
          </w:rPr>
          <w:t>paul.parikhah@conseil-etat.fr</w:t>
        </w:r>
      </w:hyperlink>
    </w:p>
    <w:p w14:paraId="2D0E054A" w14:textId="77777777" w:rsidR="00442F00" w:rsidRPr="00C6329A" w:rsidRDefault="00442F00" w:rsidP="00E54C1D">
      <w:pPr>
        <w:spacing w:line="20" w:lineRule="atLeast"/>
        <w:jc w:val="center"/>
        <w:rPr>
          <w:rFonts w:ascii="Candara" w:hAnsi="Candara" w:cs="Arial"/>
          <w:sz w:val="22"/>
          <w:szCs w:val="22"/>
        </w:rPr>
      </w:pPr>
    </w:p>
    <w:p w14:paraId="0DEDA507" w14:textId="77777777" w:rsidR="00442F00" w:rsidRPr="008B5FC6" w:rsidRDefault="00442F00" w:rsidP="00E54C1D">
      <w:pPr>
        <w:spacing w:line="20" w:lineRule="atLeast"/>
        <w:jc w:val="center"/>
        <w:rPr>
          <w:rFonts w:ascii="Candara" w:hAnsi="Candara" w:cs="Arial"/>
          <w:i/>
          <w:sz w:val="22"/>
          <w:szCs w:val="22"/>
        </w:rPr>
      </w:pPr>
      <w:r w:rsidRPr="00C6329A">
        <w:rPr>
          <w:rFonts w:ascii="Candara" w:hAnsi="Candara" w:cs="Arial"/>
          <w:i/>
          <w:sz w:val="22"/>
          <w:szCs w:val="22"/>
        </w:rPr>
        <w:t>Suivez l’actualité du Conseil d’État sur Twitter : @Conseil_</w:t>
      </w:r>
      <w:r>
        <w:rPr>
          <w:rFonts w:ascii="Candara" w:hAnsi="Candara" w:cs="Arial"/>
          <w:i/>
          <w:sz w:val="22"/>
          <w:szCs w:val="22"/>
        </w:rPr>
        <w:t>Etat</w:t>
      </w:r>
    </w:p>
    <w:sectPr w:rsidR="00442F00" w:rsidRPr="008B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BF819" w14:textId="77777777" w:rsidR="0019756E" w:rsidRDefault="0019756E" w:rsidP="00203D6B">
      <w:r>
        <w:separator/>
      </w:r>
    </w:p>
  </w:endnote>
  <w:endnote w:type="continuationSeparator" w:id="0">
    <w:p w14:paraId="15C8F9F0" w14:textId="77777777" w:rsidR="0019756E" w:rsidRDefault="0019756E" w:rsidP="0020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DDC5B" w14:textId="77777777" w:rsidR="0019756E" w:rsidRDefault="0019756E" w:rsidP="00203D6B">
      <w:r>
        <w:separator/>
      </w:r>
    </w:p>
  </w:footnote>
  <w:footnote w:type="continuationSeparator" w:id="0">
    <w:p w14:paraId="6344113A" w14:textId="77777777" w:rsidR="0019756E" w:rsidRDefault="0019756E" w:rsidP="00203D6B">
      <w:r>
        <w:continuationSeparator/>
      </w:r>
    </w:p>
  </w:footnote>
  <w:footnote w:id="1">
    <w:p w14:paraId="06858A5C" w14:textId="77777777" w:rsidR="003F0655" w:rsidRPr="003F0655" w:rsidRDefault="003F0655" w:rsidP="003F0655">
      <w:pPr>
        <w:pStyle w:val="Notedebasdepage"/>
        <w:jc w:val="both"/>
        <w:rPr>
          <w:rFonts w:ascii="Candara" w:hAnsi="Candara"/>
        </w:rPr>
      </w:pPr>
      <w:r w:rsidRPr="003F0655">
        <w:rPr>
          <w:rStyle w:val="Appelnotedebasdep"/>
          <w:rFonts w:ascii="Candara" w:hAnsi="Candara"/>
        </w:rPr>
        <w:footnoteRef/>
      </w:r>
      <w:r w:rsidRPr="003F0655">
        <w:rPr>
          <w:rFonts w:ascii="Candara" w:hAnsi="Candara"/>
        </w:rPr>
        <w:t xml:space="preserve"> Bouches-du-Rhône, Haute-Garonne, Hérault, Isère, Loire, Nord, Rhône, Seine-Maritime, Paris, Seine-et-Marne, Yvelines, Essonne, Hauts-de-Seine, Seine-Saint-Denis, Val-de-Marne, Val-d'Oise.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277FC"/>
    <w:multiLevelType w:val="hybridMultilevel"/>
    <w:tmpl w:val="C3204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167B8"/>
    <w:multiLevelType w:val="hybridMultilevel"/>
    <w:tmpl w:val="B64C2198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D3"/>
    <w:rsid w:val="00030719"/>
    <w:rsid w:val="00033837"/>
    <w:rsid w:val="00034077"/>
    <w:rsid w:val="000535EB"/>
    <w:rsid w:val="00085C01"/>
    <w:rsid w:val="000879CB"/>
    <w:rsid w:val="000B2B8B"/>
    <w:rsid w:val="000C0BE5"/>
    <w:rsid w:val="000C138C"/>
    <w:rsid w:val="000C5193"/>
    <w:rsid w:val="000D2863"/>
    <w:rsid w:val="000E2D2F"/>
    <w:rsid w:val="001035A3"/>
    <w:rsid w:val="00111E6C"/>
    <w:rsid w:val="001234F2"/>
    <w:rsid w:val="001426CE"/>
    <w:rsid w:val="001563F6"/>
    <w:rsid w:val="00162B7F"/>
    <w:rsid w:val="00182C91"/>
    <w:rsid w:val="00194838"/>
    <w:rsid w:val="00196259"/>
    <w:rsid w:val="0019756E"/>
    <w:rsid w:val="001B707A"/>
    <w:rsid w:val="001D4391"/>
    <w:rsid w:val="00200F0F"/>
    <w:rsid w:val="00203D6B"/>
    <w:rsid w:val="00204A76"/>
    <w:rsid w:val="00220480"/>
    <w:rsid w:val="00231A12"/>
    <w:rsid w:val="00241D36"/>
    <w:rsid w:val="002459CB"/>
    <w:rsid w:val="00252A67"/>
    <w:rsid w:val="00267983"/>
    <w:rsid w:val="00276EAA"/>
    <w:rsid w:val="002A0AC6"/>
    <w:rsid w:val="002E45B3"/>
    <w:rsid w:val="002E5B5A"/>
    <w:rsid w:val="00301148"/>
    <w:rsid w:val="0031761A"/>
    <w:rsid w:val="0032659B"/>
    <w:rsid w:val="003458F6"/>
    <w:rsid w:val="0036018E"/>
    <w:rsid w:val="003666F1"/>
    <w:rsid w:val="003A0858"/>
    <w:rsid w:val="003A3BD1"/>
    <w:rsid w:val="003C436E"/>
    <w:rsid w:val="003D1E6D"/>
    <w:rsid w:val="003F0655"/>
    <w:rsid w:val="003F6F28"/>
    <w:rsid w:val="0040070D"/>
    <w:rsid w:val="0040524D"/>
    <w:rsid w:val="00410AAD"/>
    <w:rsid w:val="00414253"/>
    <w:rsid w:val="00433590"/>
    <w:rsid w:val="00436D75"/>
    <w:rsid w:val="004420AE"/>
    <w:rsid w:val="00442F00"/>
    <w:rsid w:val="004749FC"/>
    <w:rsid w:val="0048228B"/>
    <w:rsid w:val="00494636"/>
    <w:rsid w:val="00495165"/>
    <w:rsid w:val="00496895"/>
    <w:rsid w:val="004E7573"/>
    <w:rsid w:val="005029D1"/>
    <w:rsid w:val="005158E5"/>
    <w:rsid w:val="0054725C"/>
    <w:rsid w:val="00563973"/>
    <w:rsid w:val="00563B7C"/>
    <w:rsid w:val="00593340"/>
    <w:rsid w:val="005B2542"/>
    <w:rsid w:val="005B4730"/>
    <w:rsid w:val="005E5A52"/>
    <w:rsid w:val="005F0CAE"/>
    <w:rsid w:val="006203D9"/>
    <w:rsid w:val="006261F0"/>
    <w:rsid w:val="006375E4"/>
    <w:rsid w:val="00637A78"/>
    <w:rsid w:val="00687FDF"/>
    <w:rsid w:val="006908BD"/>
    <w:rsid w:val="00691163"/>
    <w:rsid w:val="00692DA5"/>
    <w:rsid w:val="006A1390"/>
    <w:rsid w:val="006A24AB"/>
    <w:rsid w:val="006B24F2"/>
    <w:rsid w:val="006C78E3"/>
    <w:rsid w:val="007043D9"/>
    <w:rsid w:val="00733938"/>
    <w:rsid w:val="00787F7B"/>
    <w:rsid w:val="007930DF"/>
    <w:rsid w:val="007D4005"/>
    <w:rsid w:val="007D6F5D"/>
    <w:rsid w:val="007E2204"/>
    <w:rsid w:val="007F446E"/>
    <w:rsid w:val="00804522"/>
    <w:rsid w:val="00865139"/>
    <w:rsid w:val="0087612B"/>
    <w:rsid w:val="008765D7"/>
    <w:rsid w:val="008A53A3"/>
    <w:rsid w:val="008B5FC6"/>
    <w:rsid w:val="008B75DA"/>
    <w:rsid w:val="008C498C"/>
    <w:rsid w:val="008D256B"/>
    <w:rsid w:val="008F656F"/>
    <w:rsid w:val="00901476"/>
    <w:rsid w:val="009378A1"/>
    <w:rsid w:val="00953039"/>
    <w:rsid w:val="009609B0"/>
    <w:rsid w:val="009A3C4E"/>
    <w:rsid w:val="009B0749"/>
    <w:rsid w:val="009C087B"/>
    <w:rsid w:val="009C4294"/>
    <w:rsid w:val="009D2D80"/>
    <w:rsid w:val="009F13B7"/>
    <w:rsid w:val="00A11ABE"/>
    <w:rsid w:val="00A37B84"/>
    <w:rsid w:val="00A533F6"/>
    <w:rsid w:val="00A66817"/>
    <w:rsid w:val="00A72B63"/>
    <w:rsid w:val="00A76704"/>
    <w:rsid w:val="00A82CED"/>
    <w:rsid w:val="00A85461"/>
    <w:rsid w:val="00A91E31"/>
    <w:rsid w:val="00A96F35"/>
    <w:rsid w:val="00AE3539"/>
    <w:rsid w:val="00AF192A"/>
    <w:rsid w:val="00AF6730"/>
    <w:rsid w:val="00B0234B"/>
    <w:rsid w:val="00B23C5D"/>
    <w:rsid w:val="00B57BFA"/>
    <w:rsid w:val="00B71CB1"/>
    <w:rsid w:val="00B865E3"/>
    <w:rsid w:val="00BB180B"/>
    <w:rsid w:val="00BB7AED"/>
    <w:rsid w:val="00BD46BB"/>
    <w:rsid w:val="00BF562D"/>
    <w:rsid w:val="00C03E94"/>
    <w:rsid w:val="00C1231B"/>
    <w:rsid w:val="00C46189"/>
    <w:rsid w:val="00C51BE9"/>
    <w:rsid w:val="00C572A8"/>
    <w:rsid w:val="00C630A4"/>
    <w:rsid w:val="00C72BEB"/>
    <w:rsid w:val="00C82F4D"/>
    <w:rsid w:val="00C8330A"/>
    <w:rsid w:val="00C87B6F"/>
    <w:rsid w:val="00C957D7"/>
    <w:rsid w:val="00CA309D"/>
    <w:rsid w:val="00CB1C3F"/>
    <w:rsid w:val="00CC59CF"/>
    <w:rsid w:val="00CE7331"/>
    <w:rsid w:val="00D11663"/>
    <w:rsid w:val="00D13738"/>
    <w:rsid w:val="00D30722"/>
    <w:rsid w:val="00D32398"/>
    <w:rsid w:val="00D3616F"/>
    <w:rsid w:val="00D621AF"/>
    <w:rsid w:val="00D76C17"/>
    <w:rsid w:val="00D91DD5"/>
    <w:rsid w:val="00DD2C8C"/>
    <w:rsid w:val="00DD6C3A"/>
    <w:rsid w:val="00E440C3"/>
    <w:rsid w:val="00E50450"/>
    <w:rsid w:val="00E54C1D"/>
    <w:rsid w:val="00E65813"/>
    <w:rsid w:val="00E71DAE"/>
    <w:rsid w:val="00EB5208"/>
    <w:rsid w:val="00EE1885"/>
    <w:rsid w:val="00EE7EDE"/>
    <w:rsid w:val="00EF00B2"/>
    <w:rsid w:val="00EF06B4"/>
    <w:rsid w:val="00EF1A12"/>
    <w:rsid w:val="00EF38D3"/>
    <w:rsid w:val="00F06E48"/>
    <w:rsid w:val="00F3108E"/>
    <w:rsid w:val="00F36D87"/>
    <w:rsid w:val="00F42DCB"/>
    <w:rsid w:val="00F5273D"/>
    <w:rsid w:val="00F630FE"/>
    <w:rsid w:val="00FC34FA"/>
    <w:rsid w:val="00FC6345"/>
    <w:rsid w:val="00FD465A"/>
    <w:rsid w:val="00FE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2342"/>
  <w15:chartTrackingRefBased/>
  <w15:docId w15:val="{75608862-E00F-447A-B229-304248B4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rsid w:val="00442F0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styleId="Lienhypertexte">
    <w:name w:val="Hyperlink"/>
    <w:rsid w:val="00442F0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651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58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8E5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3D6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3D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03D6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B75DA"/>
  </w:style>
  <w:style w:type="character" w:customStyle="1" w:styleId="Mentionnonrsolue1">
    <w:name w:val="Mention non résolue1"/>
    <w:basedOn w:val="Policepardfaut"/>
    <w:uiPriority w:val="99"/>
    <w:semiHidden/>
    <w:unhideWhenUsed/>
    <w:rsid w:val="00BB180B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F065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F065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3F06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ul.parikhah@conseil-etat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abi.velazquez@conseil-eta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EF03-77C1-4459-B558-8EAE5BC3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VILLETTE Vincent</dc:creator>
  <cp:keywords/>
  <dc:description/>
  <cp:lastModifiedBy>Guillaume de La Taille</cp:lastModifiedBy>
  <cp:revision>10</cp:revision>
  <cp:lastPrinted>2019-11-27T13:56:00Z</cp:lastPrinted>
  <dcterms:created xsi:type="dcterms:W3CDTF">2020-10-23T09:20:00Z</dcterms:created>
  <dcterms:modified xsi:type="dcterms:W3CDTF">2020-10-23T10:40:00Z</dcterms:modified>
</cp:coreProperties>
</file>