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48" w:rsidRDefault="00255448" w:rsidP="00255448">
      <w:pPr>
        <w:adjustRightInd w:val="0"/>
        <w:rPr>
          <w:sz w:val="24"/>
          <w:szCs w:val="24"/>
        </w:rPr>
      </w:pPr>
      <w:r>
        <w:rPr>
          <w:noProof/>
        </w:rPr>
        <mc:AlternateContent>
          <mc:Choice Requires="wps">
            <w:drawing>
              <wp:anchor distT="0" distB="0" distL="114300" distR="114300" simplePos="0" relativeHeight="251659264" behindDoc="1" locked="0" layoutInCell="1" allowOverlap="1" wp14:anchorId="09AAE069" wp14:editId="7B6FD4DD">
                <wp:simplePos x="0" y="0"/>
                <wp:positionH relativeFrom="page">
                  <wp:align>right</wp:align>
                </wp:positionH>
                <wp:positionV relativeFrom="paragraph">
                  <wp:posOffset>-720091</wp:posOffset>
                </wp:positionV>
                <wp:extent cx="7551683" cy="106732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1683" cy="10673255"/>
                        </a:xfrm>
                        <a:prstGeom prst="rect">
                          <a:avLst/>
                        </a:prstGeom>
                        <a:solidFill>
                          <a:srgbClr val="FF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AE069" id="Rectangle 3" o:spid="_x0000_s1026" style="position:absolute;margin-left:543.4pt;margin-top:-56.7pt;width:594.6pt;height:840.4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" fillcolor="#fcc" stroked="f">
                <v:textbox>
                  <w:txbxContent>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p w:rsidR="00255448" w:rsidRDefault="00255448" w:rsidP="00255448">
                      <w:pPr>
                        <w:jc w:val="center"/>
                      </w:pPr>
                    </w:p>
                  </w:txbxContent>
                </v:textbox>
                <w10:wrap anchorx="page"/>
              </v:rect>
            </w:pict>
          </mc:Fallback>
        </mc:AlternateContent>
      </w:r>
    </w:p>
    <w:p w:rsidR="00255448" w:rsidRDefault="00255448" w:rsidP="00255448">
      <w:r>
        <w:t xml:space="preserve">                               </w:t>
      </w:r>
      <w:r>
        <w:rPr>
          <w:noProof/>
          <w:sz w:val="36"/>
          <w:szCs w:val="36"/>
        </w:rPr>
        <w:drawing>
          <wp:inline distT="0" distB="0" distL="0" distR="0" wp14:anchorId="0C460F62" wp14:editId="76C8E80F">
            <wp:extent cx="1950720" cy="15303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720" cy="1530350"/>
                    </a:xfrm>
                    <a:prstGeom prst="rect">
                      <a:avLst/>
                    </a:prstGeom>
                    <a:noFill/>
                  </pic:spPr>
                </pic:pic>
              </a:graphicData>
            </a:graphic>
          </wp:inline>
        </w:drawing>
      </w:r>
    </w:p>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Pr="00836ACB" w:rsidRDefault="00255448" w:rsidP="00255448">
      <w:pPr>
        <w:pStyle w:val="Titre7"/>
        <w:spacing w:before="0" w:after="0"/>
        <w:jc w:val="center"/>
        <w:rPr>
          <w:rFonts w:ascii="Times New Roman" w:hAnsi="Times New Roman" w:cs="Times New Roman"/>
          <w:b w:val="0"/>
          <w:bCs w:val="0"/>
          <w:sz w:val="28"/>
          <w:szCs w:val="28"/>
          <w:u w:val="single"/>
        </w:rPr>
      </w:pPr>
      <w:r w:rsidRPr="00836ACB">
        <w:rPr>
          <w:rFonts w:ascii="Times New Roman" w:hAnsi="Times New Roman" w:cs="Times New Roman"/>
          <w:b w:val="0"/>
          <w:bCs w:val="0"/>
          <w:sz w:val="28"/>
          <w:szCs w:val="28"/>
          <w:u w:val="single"/>
        </w:rPr>
        <w:t>CENTRE DE RECHERCHES ET DE DIFFUSION JURIDIQUES</w:t>
      </w:r>
    </w:p>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 w:rsidR="00255448" w:rsidRDefault="00255448" w:rsidP="00255448">
      <w:pPr>
        <w:pStyle w:val="Titre8"/>
      </w:pPr>
      <w:r>
        <w:t>JURISPRUDENCE</w:t>
      </w:r>
    </w:p>
    <w:p w:rsidR="00255448" w:rsidRDefault="00255448" w:rsidP="00255448"/>
    <w:p w:rsidR="00255448" w:rsidRDefault="00255448" w:rsidP="00255448"/>
    <w:p w:rsidR="00255448" w:rsidRDefault="00255448" w:rsidP="00255448">
      <w:pPr>
        <w:pStyle w:val="Titre8"/>
      </w:pPr>
      <w:r>
        <w:t>DU TRIBUNAL DES CONFLITS</w:t>
      </w:r>
    </w:p>
    <w:p w:rsidR="00255448" w:rsidRDefault="00255448" w:rsidP="00255448"/>
    <w:p w:rsidR="00255448" w:rsidRDefault="00255448" w:rsidP="00255448"/>
    <w:p w:rsidR="00255448" w:rsidRPr="005623B4" w:rsidRDefault="00A254D7" w:rsidP="00255448">
      <w:pPr>
        <w:pStyle w:val="Titre8"/>
        <w:rPr>
          <w:b/>
        </w:rPr>
      </w:pPr>
      <w:r>
        <w:rPr>
          <w:b/>
        </w:rPr>
        <w:t>NOV</w:t>
      </w:r>
      <w:r w:rsidR="00FC6E51">
        <w:rPr>
          <w:b/>
        </w:rPr>
        <w:t>E</w:t>
      </w:r>
      <w:r>
        <w:rPr>
          <w:b/>
        </w:rPr>
        <w:t>MBRE</w:t>
      </w:r>
      <w:r w:rsidR="00255448" w:rsidRPr="005623B4">
        <w:rPr>
          <w:b/>
        </w:rPr>
        <w:t xml:space="preserve"> 2020</w:t>
      </w:r>
    </w:p>
    <w:p w:rsidR="00255448" w:rsidRPr="00836ACB" w:rsidRDefault="00255448" w:rsidP="00255448">
      <w:pPr>
        <w:pStyle w:val="Titre8"/>
        <w:rPr>
          <w:sz w:val="24"/>
          <w:szCs w:val="24"/>
        </w:rPr>
        <w:sectPr w:rsidR="00255448" w:rsidRPr="00836ACB">
          <w:footerReference w:type="default" r:id="rId7"/>
          <w:type w:val="oddPage"/>
          <w:pgSz w:w="11906" w:h="16838"/>
          <w:pgMar w:top="1134" w:right="1418" w:bottom="1418" w:left="1418" w:header="709" w:footer="709" w:gutter="0"/>
          <w:cols w:space="709"/>
        </w:sectPr>
      </w:pPr>
    </w:p>
    <w:p w:rsidR="00255448" w:rsidRDefault="00255448" w:rsidP="00255448">
      <w:pPr>
        <w:pStyle w:val="Titre8"/>
        <w:spacing w:after="120"/>
        <w:jc w:val="left"/>
        <w:rPr>
          <w:rFonts w:ascii="Garamond" w:hAnsi="Garamond"/>
          <w:b/>
          <w:bCs/>
          <w:color w:val="993366"/>
          <w:sz w:val="24"/>
          <w:szCs w:val="24"/>
        </w:rPr>
      </w:pPr>
      <w:r>
        <w:rPr>
          <w:rFonts w:ascii="Garamond" w:hAnsi="Garamond"/>
          <w:b/>
          <w:bCs/>
          <w:color w:val="993366"/>
          <w:sz w:val="24"/>
          <w:szCs w:val="24"/>
        </w:rPr>
        <w:lastRenderedPageBreak/>
        <w:t>L’Essentiel</w:t>
      </w:r>
    </w:p>
    <w:p w:rsidR="002871C7" w:rsidRDefault="002871C7">
      <w:pPr>
        <w:pStyle w:val="Titre8"/>
        <w:rPr>
          <w:sz w:val="24"/>
          <w:szCs w:val="24"/>
          <w:lang w:val="en-US"/>
        </w:rPr>
      </w:pPr>
    </w:p>
    <w:p w:rsidR="00255448" w:rsidRPr="00255448" w:rsidRDefault="00255448" w:rsidP="00255448">
      <w:pPr>
        <w:widowControl/>
        <w:autoSpaceDE/>
        <w:autoSpaceDN/>
        <w:spacing w:after="160" w:line="259" w:lineRule="auto"/>
        <w:rPr>
          <w:rFonts w:ascii="Garamond" w:eastAsiaTheme="minorHAnsi" w:hAnsi="Garamond" w:cstheme="minorBidi"/>
          <w:b/>
          <w:bCs/>
          <w:color w:val="9B3365"/>
          <w:sz w:val="24"/>
          <w:szCs w:val="24"/>
          <w:u w:val="single"/>
          <w:lang w:eastAsia="en-US"/>
        </w:rPr>
      </w:pPr>
      <w:r w:rsidRPr="00255448">
        <w:rPr>
          <w:rFonts w:ascii="Garamond" w:eastAsiaTheme="minorHAnsi" w:hAnsi="Garamond" w:cstheme="minorBidi"/>
          <w:b/>
          <w:bCs/>
          <w:color w:val="9B3365"/>
          <w:sz w:val="24"/>
          <w:szCs w:val="24"/>
          <w:u w:val="single"/>
          <w:lang w:eastAsia="en-US"/>
        </w:rPr>
        <w:t>Les décisions à publier au Recueil</w:t>
      </w:r>
    </w:p>
    <w:p w:rsidR="00255448" w:rsidRPr="00255448" w:rsidRDefault="00255448" w:rsidP="00255448">
      <w:pPr>
        <w:widowControl/>
        <w:autoSpaceDE/>
        <w:autoSpaceDN/>
        <w:spacing w:after="160" w:line="259" w:lineRule="auto"/>
        <w:jc w:val="both"/>
        <w:rPr>
          <w:rFonts w:ascii="Garamond" w:eastAsiaTheme="minorHAnsi" w:hAnsi="Garamond" w:cstheme="minorBidi"/>
          <w:b/>
          <w:bCs/>
          <w:color w:val="993366"/>
          <w:sz w:val="24"/>
          <w:szCs w:val="24"/>
          <w:lang w:eastAsia="en-US"/>
        </w:rPr>
      </w:pPr>
      <w:r w:rsidRPr="00255448">
        <w:rPr>
          <w:rFonts w:ascii="Garamond" w:eastAsiaTheme="minorHAnsi" w:hAnsi="Garamond" w:cstheme="minorBidi"/>
          <w:b/>
          <w:bCs/>
          <w:color w:val="993366"/>
          <w:sz w:val="24"/>
          <w:szCs w:val="24"/>
          <w:lang w:eastAsia="en-US"/>
        </w:rPr>
        <w:t xml:space="preserve">Contrats. </w:t>
      </w:r>
      <w:r w:rsidRPr="00255448">
        <w:rPr>
          <w:rFonts w:ascii="Garamond" w:eastAsiaTheme="minorHAnsi" w:hAnsi="Garamond" w:cstheme="minorBidi"/>
          <w:sz w:val="24"/>
          <w:szCs w:val="24"/>
          <w:lang w:eastAsia="en-US"/>
        </w:rPr>
        <w:t xml:space="preserve">La circonstance qu’un contrat, passé entre une personne privée et une personne publique, comporte des clauses conférant à la personne privée des prérogatives particulières n’est pas de nature à faire regarder ce contrat comme administratif. </w:t>
      </w:r>
      <w:r w:rsidRPr="00B7736F">
        <w:rPr>
          <w:rFonts w:ascii="Garamond" w:eastAsiaTheme="minorHAnsi" w:hAnsi="Garamond" w:cstheme="minorBidi"/>
          <w:sz w:val="24"/>
          <w:szCs w:val="24"/>
          <w:lang w:eastAsia="en-US"/>
        </w:rPr>
        <w:t xml:space="preserve">TC, 2 novembre 2020, </w:t>
      </w:r>
      <w:r w:rsidRPr="00B7736F">
        <w:rPr>
          <w:rFonts w:ascii="Garamond" w:eastAsiaTheme="minorHAnsi" w:hAnsi="Garamond" w:cstheme="minorBidi"/>
          <w:i/>
          <w:iCs/>
          <w:sz w:val="24"/>
          <w:szCs w:val="24"/>
          <w:lang w:eastAsia="en-US"/>
        </w:rPr>
        <w:t>Société Eveha c/ INRAP</w:t>
      </w:r>
      <w:r w:rsidRPr="00B7736F">
        <w:rPr>
          <w:rFonts w:ascii="Garamond" w:eastAsiaTheme="minorHAnsi" w:hAnsi="Garamond" w:cstheme="minorBidi"/>
          <w:sz w:val="24"/>
          <w:szCs w:val="24"/>
          <w:lang w:eastAsia="en-US"/>
        </w:rPr>
        <w:t>, n° 4196, A.</w:t>
      </w:r>
    </w:p>
    <w:p w:rsidR="00255448" w:rsidRPr="00255448" w:rsidRDefault="00255448" w:rsidP="00255448">
      <w:pPr>
        <w:widowControl/>
        <w:autoSpaceDE/>
        <w:autoSpaceDN/>
        <w:spacing w:after="160" w:line="259" w:lineRule="auto"/>
        <w:jc w:val="both"/>
        <w:rPr>
          <w:rFonts w:ascii="Garamond" w:eastAsiaTheme="minorHAnsi" w:hAnsi="Garamond" w:cstheme="minorBidi"/>
          <w:b/>
          <w:bCs/>
          <w:color w:val="993366"/>
          <w:sz w:val="24"/>
          <w:szCs w:val="24"/>
          <w:lang w:eastAsia="en-US"/>
        </w:rPr>
      </w:pPr>
      <w:r w:rsidRPr="00255448">
        <w:rPr>
          <w:rFonts w:ascii="Garamond" w:eastAsiaTheme="minorHAnsi" w:hAnsi="Garamond" w:cstheme="minorBidi"/>
          <w:b/>
          <w:bCs/>
          <w:color w:val="993366"/>
          <w:sz w:val="24"/>
          <w:szCs w:val="24"/>
          <w:lang w:eastAsia="en-US"/>
        </w:rPr>
        <w:t xml:space="preserve">Déni de justice. </w:t>
      </w:r>
      <w:r w:rsidRPr="00255448">
        <w:rPr>
          <w:rFonts w:ascii="Garamond" w:eastAsiaTheme="minorHAnsi" w:hAnsi="Garamond" w:cs="Arial"/>
          <w:sz w:val="24"/>
          <w:szCs w:val="24"/>
          <w:lang w:eastAsia="en-US"/>
        </w:rPr>
        <w:t xml:space="preserve">Valablement saisi sur le fondement de l’article 15 de la loi du 24 mai 1872, le Tribunal des conflits règle complètement le litige, et non pas dans la seule mesure de la contrariété ayant conduit au déni de justice. </w:t>
      </w:r>
      <w:r w:rsidRPr="00B7736F">
        <w:rPr>
          <w:rFonts w:ascii="Garamond" w:eastAsiaTheme="minorHAnsi" w:hAnsi="Garamond" w:cs="Arial"/>
          <w:sz w:val="24"/>
          <w:szCs w:val="24"/>
          <w:lang w:eastAsia="en-US"/>
        </w:rPr>
        <w:t xml:space="preserve">TC, 2 novembre 2020, </w:t>
      </w:r>
      <w:r w:rsidRPr="00B7736F">
        <w:rPr>
          <w:rFonts w:ascii="Garamond" w:eastAsiaTheme="minorHAnsi" w:hAnsi="Garamond" w:cs="Arial"/>
          <w:i/>
          <w:iCs/>
          <w:sz w:val="24"/>
          <w:szCs w:val="24"/>
          <w:lang w:eastAsia="en-US"/>
        </w:rPr>
        <w:t>Mme D</w:t>
      </w:r>
      <w:r w:rsidR="00B7736F" w:rsidRPr="00B7736F">
        <w:rPr>
          <w:rFonts w:ascii="Garamond" w:eastAsiaTheme="minorHAnsi" w:hAnsi="Garamond" w:cs="Arial"/>
          <w:i/>
          <w:iCs/>
          <w:sz w:val="24"/>
          <w:szCs w:val="24"/>
          <w:lang w:eastAsia="en-US"/>
        </w:rPr>
        <w:t>…</w:t>
      </w:r>
      <w:r w:rsidRPr="00B7736F">
        <w:rPr>
          <w:rFonts w:ascii="Garamond" w:eastAsiaTheme="minorHAnsi" w:hAnsi="Garamond" w:cs="Arial"/>
          <w:i/>
          <w:iCs/>
          <w:sz w:val="24"/>
          <w:szCs w:val="24"/>
          <w:lang w:eastAsia="en-US"/>
        </w:rPr>
        <w:t xml:space="preserve"> et autres c/ M. S</w:t>
      </w:r>
      <w:r w:rsidR="00B7736F" w:rsidRPr="00B7736F">
        <w:rPr>
          <w:rFonts w:ascii="Garamond" w:eastAsiaTheme="minorHAnsi" w:hAnsi="Garamond" w:cs="Arial"/>
          <w:i/>
          <w:iCs/>
          <w:sz w:val="24"/>
          <w:szCs w:val="24"/>
          <w:lang w:eastAsia="en-US"/>
        </w:rPr>
        <w:t>…</w:t>
      </w:r>
      <w:r w:rsidRPr="00B7736F">
        <w:rPr>
          <w:rFonts w:ascii="Garamond" w:eastAsiaTheme="minorHAnsi" w:hAnsi="Garamond" w:cs="Arial"/>
          <w:i/>
          <w:iCs/>
          <w:sz w:val="24"/>
          <w:szCs w:val="24"/>
          <w:lang w:eastAsia="en-US"/>
        </w:rPr>
        <w:t xml:space="preserve"> et autres</w:t>
      </w:r>
      <w:r w:rsidRPr="00B7736F">
        <w:rPr>
          <w:rFonts w:ascii="Garamond" w:eastAsiaTheme="minorHAnsi" w:hAnsi="Garamond" w:cs="Arial"/>
          <w:sz w:val="24"/>
          <w:szCs w:val="24"/>
          <w:lang w:eastAsia="en-US"/>
        </w:rPr>
        <w:t>, n° 4194, A.</w:t>
      </w:r>
    </w:p>
    <w:p w:rsidR="00255448" w:rsidRDefault="00255448" w:rsidP="00255448">
      <w:pPr>
        <w:rPr>
          <w:lang w:val="en-US"/>
        </w:rPr>
      </w:pPr>
    </w:p>
    <w:p w:rsidR="00255448" w:rsidRPr="00255448" w:rsidRDefault="00255448" w:rsidP="00255448">
      <w:pPr>
        <w:rPr>
          <w:lang w:val="en-US"/>
        </w:rPr>
        <w:sectPr w:rsidR="00255448" w:rsidRPr="00255448">
          <w:footerReference w:type="default" r:id="rId8"/>
          <w:type w:val="oddPage"/>
          <w:pgSz w:w="11906" w:h="16838"/>
          <w:pgMar w:top="1134" w:right="1418" w:bottom="1418" w:left="1418" w:header="709" w:footer="709" w:gutter="0"/>
          <w:cols w:space="709"/>
        </w:sectPr>
      </w:pPr>
    </w:p>
    <w:p w:rsidR="002871C7" w:rsidRDefault="00834424">
      <w:pPr>
        <w:pStyle w:val="Titre8"/>
        <w:spacing w:before="240" w:after="240"/>
        <w:rPr>
          <w:b/>
          <w:bCs/>
          <w:sz w:val="32"/>
          <w:szCs w:val="32"/>
        </w:rPr>
      </w:pPr>
      <w:r>
        <w:rPr>
          <w:b/>
          <w:bCs/>
          <w:sz w:val="32"/>
          <w:szCs w:val="32"/>
        </w:rPr>
        <w:t>SOMMAIRE</w:t>
      </w:r>
    </w:p>
    <w:p w:rsidR="002871C7" w:rsidRDefault="002871C7">
      <w:pPr>
        <w:rPr>
          <w:sz w:val="24"/>
          <w:szCs w:val="24"/>
        </w:rPr>
      </w:pPr>
    </w:p>
    <w:bookmarkStart w:id="0" w:name="_GoBack"/>
    <w:bookmarkEnd w:id="0"/>
    <w:p w:rsidR="00193E87" w:rsidRDefault="00834424">
      <w:pPr>
        <w:pStyle w:val="TM1"/>
        <w:tabs>
          <w:tab w:val="right" w:leader="dot" w:pos="9060"/>
        </w:tabs>
        <w:rPr>
          <w:rFonts w:asciiTheme="minorHAnsi" w:hAnsiTheme="minorHAnsi" w:cstheme="minorBidi"/>
          <w:b w:val="0"/>
          <w:bCs w:val="0"/>
          <w:smallCaps w:val="0"/>
          <w:noProof/>
          <w:sz w:val="22"/>
          <w:szCs w:val="22"/>
        </w:rPr>
      </w:pPr>
      <w:r w:rsidRPr="00834424">
        <w:rPr>
          <w:sz w:val="22"/>
        </w:rPr>
        <w:fldChar w:fldCharType="begin"/>
      </w:r>
      <w:r w:rsidRPr="00834424">
        <w:rPr>
          <w:sz w:val="22"/>
        </w:rPr>
        <w:instrText xml:space="preserve"> TOC \o "1-3" \h \z </w:instrText>
      </w:r>
      <w:r w:rsidRPr="00834424">
        <w:rPr>
          <w:sz w:val="22"/>
        </w:rPr>
        <w:fldChar w:fldCharType="separate"/>
      </w:r>
      <w:hyperlink w:anchor="_Toc57814601" w:history="1">
        <w:r w:rsidR="00193E87" w:rsidRPr="00A51F30">
          <w:rPr>
            <w:rStyle w:val="Lienhypertexte"/>
            <w:noProof/>
          </w:rPr>
          <w:t>17 – Compétence</w:t>
        </w:r>
        <w:r w:rsidR="00193E87">
          <w:rPr>
            <w:noProof/>
            <w:webHidden/>
          </w:rPr>
          <w:tab/>
        </w:r>
        <w:r w:rsidR="00193E87">
          <w:rPr>
            <w:noProof/>
            <w:webHidden/>
          </w:rPr>
          <w:fldChar w:fldCharType="begin"/>
        </w:r>
        <w:r w:rsidR="00193E87">
          <w:rPr>
            <w:noProof/>
            <w:webHidden/>
          </w:rPr>
          <w:instrText xml:space="preserve"> PAGEREF _Toc57814601 \h </w:instrText>
        </w:r>
        <w:r w:rsidR="00193E87">
          <w:rPr>
            <w:noProof/>
            <w:webHidden/>
          </w:rPr>
        </w:r>
        <w:r w:rsidR="00193E87">
          <w:rPr>
            <w:noProof/>
            <w:webHidden/>
          </w:rPr>
          <w:fldChar w:fldCharType="separate"/>
        </w:r>
        <w:r w:rsidR="00193E87">
          <w:rPr>
            <w:noProof/>
            <w:webHidden/>
          </w:rPr>
          <w:t>7</w:t>
        </w:r>
        <w:r w:rsidR="00193E87">
          <w:rPr>
            <w:noProof/>
            <w:webHidden/>
          </w:rPr>
          <w:fldChar w:fldCharType="end"/>
        </w:r>
      </w:hyperlink>
    </w:p>
    <w:p w:rsidR="00193E87" w:rsidRDefault="00193E87">
      <w:pPr>
        <w:pStyle w:val="TM2"/>
        <w:tabs>
          <w:tab w:val="right" w:leader="dot" w:pos="9060"/>
        </w:tabs>
        <w:rPr>
          <w:rFonts w:asciiTheme="minorHAnsi" w:hAnsiTheme="minorHAnsi" w:cstheme="minorBidi"/>
          <w:i w:val="0"/>
          <w:iCs w:val="0"/>
          <w:noProof/>
        </w:rPr>
      </w:pPr>
      <w:hyperlink w:anchor="_Toc57814602" w:history="1">
        <w:r w:rsidRPr="00A51F30">
          <w:rPr>
            <w:rStyle w:val="Lienhypertexte"/>
            <w:noProof/>
          </w:rPr>
          <w:t>17-03 – Répartition des compétences entre les deux ordres de juridiction</w:t>
        </w:r>
        <w:r>
          <w:rPr>
            <w:noProof/>
            <w:webHidden/>
          </w:rPr>
          <w:tab/>
        </w:r>
        <w:r>
          <w:rPr>
            <w:noProof/>
            <w:webHidden/>
          </w:rPr>
          <w:fldChar w:fldCharType="begin"/>
        </w:r>
        <w:r>
          <w:rPr>
            <w:noProof/>
            <w:webHidden/>
          </w:rPr>
          <w:instrText xml:space="preserve"> PAGEREF _Toc57814602 \h </w:instrText>
        </w:r>
        <w:r>
          <w:rPr>
            <w:noProof/>
            <w:webHidden/>
          </w:rPr>
        </w:r>
        <w:r>
          <w:rPr>
            <w:noProof/>
            <w:webHidden/>
          </w:rPr>
          <w:fldChar w:fldCharType="separate"/>
        </w:r>
        <w:r>
          <w:rPr>
            <w:noProof/>
            <w:webHidden/>
          </w:rPr>
          <w:t>7</w:t>
        </w:r>
        <w:r>
          <w:rPr>
            <w:noProof/>
            <w:webHidden/>
          </w:rPr>
          <w:fldChar w:fldCharType="end"/>
        </w:r>
      </w:hyperlink>
    </w:p>
    <w:p w:rsidR="00193E87" w:rsidRDefault="00193E87">
      <w:pPr>
        <w:pStyle w:val="TM3"/>
        <w:tabs>
          <w:tab w:val="right" w:leader="dot" w:pos="9060"/>
        </w:tabs>
        <w:rPr>
          <w:rFonts w:asciiTheme="minorHAnsi" w:hAnsiTheme="minorHAnsi" w:cstheme="minorBidi"/>
          <w:noProof/>
          <w:sz w:val="22"/>
          <w:szCs w:val="22"/>
        </w:rPr>
      </w:pPr>
      <w:hyperlink w:anchor="_Toc57814603" w:history="1">
        <w:r w:rsidRPr="00A51F30">
          <w:rPr>
            <w:rStyle w:val="Lienhypertexte"/>
            <w:noProof/>
          </w:rPr>
          <w:t>17-03-02 – Compétence déterminée par un critère jurisprudentiel</w:t>
        </w:r>
        <w:r>
          <w:rPr>
            <w:noProof/>
            <w:webHidden/>
          </w:rPr>
          <w:tab/>
        </w:r>
        <w:r>
          <w:rPr>
            <w:noProof/>
            <w:webHidden/>
          </w:rPr>
          <w:fldChar w:fldCharType="begin"/>
        </w:r>
        <w:r>
          <w:rPr>
            <w:noProof/>
            <w:webHidden/>
          </w:rPr>
          <w:instrText xml:space="preserve"> PAGEREF _Toc57814603 \h </w:instrText>
        </w:r>
        <w:r>
          <w:rPr>
            <w:noProof/>
            <w:webHidden/>
          </w:rPr>
        </w:r>
        <w:r>
          <w:rPr>
            <w:noProof/>
            <w:webHidden/>
          </w:rPr>
          <w:fldChar w:fldCharType="separate"/>
        </w:r>
        <w:r>
          <w:rPr>
            <w:noProof/>
            <w:webHidden/>
          </w:rPr>
          <w:t>7</w:t>
        </w:r>
        <w:r>
          <w:rPr>
            <w:noProof/>
            <w:webHidden/>
          </w:rPr>
          <w:fldChar w:fldCharType="end"/>
        </w:r>
      </w:hyperlink>
    </w:p>
    <w:p w:rsidR="00193E87" w:rsidRDefault="00193E87">
      <w:pPr>
        <w:pStyle w:val="TM1"/>
        <w:tabs>
          <w:tab w:val="right" w:leader="dot" w:pos="9060"/>
        </w:tabs>
        <w:rPr>
          <w:rFonts w:asciiTheme="minorHAnsi" w:hAnsiTheme="minorHAnsi" w:cstheme="minorBidi"/>
          <w:b w:val="0"/>
          <w:bCs w:val="0"/>
          <w:smallCaps w:val="0"/>
          <w:noProof/>
          <w:sz w:val="22"/>
          <w:szCs w:val="22"/>
        </w:rPr>
      </w:pPr>
      <w:hyperlink w:anchor="_Toc57814604" w:history="1">
        <w:r w:rsidRPr="00A51F30">
          <w:rPr>
            <w:rStyle w:val="Lienhypertexte"/>
            <w:noProof/>
          </w:rPr>
          <w:t>39 – Marchés et contrats administratifs</w:t>
        </w:r>
        <w:r>
          <w:rPr>
            <w:noProof/>
            <w:webHidden/>
          </w:rPr>
          <w:tab/>
        </w:r>
        <w:r>
          <w:rPr>
            <w:noProof/>
            <w:webHidden/>
          </w:rPr>
          <w:fldChar w:fldCharType="begin"/>
        </w:r>
        <w:r>
          <w:rPr>
            <w:noProof/>
            <w:webHidden/>
          </w:rPr>
          <w:instrText xml:space="preserve"> PAGEREF _Toc57814604 \h </w:instrText>
        </w:r>
        <w:r>
          <w:rPr>
            <w:noProof/>
            <w:webHidden/>
          </w:rPr>
        </w:r>
        <w:r>
          <w:rPr>
            <w:noProof/>
            <w:webHidden/>
          </w:rPr>
          <w:fldChar w:fldCharType="separate"/>
        </w:r>
        <w:r>
          <w:rPr>
            <w:noProof/>
            <w:webHidden/>
          </w:rPr>
          <w:t>9</w:t>
        </w:r>
        <w:r>
          <w:rPr>
            <w:noProof/>
            <w:webHidden/>
          </w:rPr>
          <w:fldChar w:fldCharType="end"/>
        </w:r>
      </w:hyperlink>
    </w:p>
    <w:p w:rsidR="00193E87" w:rsidRDefault="00193E87">
      <w:pPr>
        <w:pStyle w:val="TM2"/>
        <w:tabs>
          <w:tab w:val="right" w:leader="dot" w:pos="9060"/>
        </w:tabs>
        <w:rPr>
          <w:rFonts w:asciiTheme="minorHAnsi" w:hAnsiTheme="minorHAnsi" w:cstheme="minorBidi"/>
          <w:i w:val="0"/>
          <w:iCs w:val="0"/>
          <w:noProof/>
        </w:rPr>
      </w:pPr>
      <w:hyperlink w:anchor="_Toc57814605" w:history="1">
        <w:r w:rsidRPr="00A51F30">
          <w:rPr>
            <w:rStyle w:val="Lienhypertexte"/>
            <w:noProof/>
          </w:rPr>
          <w:t>39-01 – Notion de contrat administratif</w:t>
        </w:r>
        <w:r>
          <w:rPr>
            <w:noProof/>
            <w:webHidden/>
          </w:rPr>
          <w:tab/>
        </w:r>
        <w:r>
          <w:rPr>
            <w:noProof/>
            <w:webHidden/>
          </w:rPr>
          <w:fldChar w:fldCharType="begin"/>
        </w:r>
        <w:r>
          <w:rPr>
            <w:noProof/>
            <w:webHidden/>
          </w:rPr>
          <w:instrText xml:space="preserve"> PAGEREF _Toc57814605 \h </w:instrText>
        </w:r>
        <w:r>
          <w:rPr>
            <w:noProof/>
            <w:webHidden/>
          </w:rPr>
        </w:r>
        <w:r>
          <w:rPr>
            <w:noProof/>
            <w:webHidden/>
          </w:rPr>
          <w:fldChar w:fldCharType="separate"/>
        </w:r>
        <w:r>
          <w:rPr>
            <w:noProof/>
            <w:webHidden/>
          </w:rPr>
          <w:t>9</w:t>
        </w:r>
        <w:r>
          <w:rPr>
            <w:noProof/>
            <w:webHidden/>
          </w:rPr>
          <w:fldChar w:fldCharType="end"/>
        </w:r>
      </w:hyperlink>
    </w:p>
    <w:p w:rsidR="00193E87" w:rsidRDefault="00193E87">
      <w:pPr>
        <w:pStyle w:val="TM3"/>
        <w:tabs>
          <w:tab w:val="right" w:leader="dot" w:pos="9060"/>
        </w:tabs>
        <w:rPr>
          <w:rFonts w:asciiTheme="minorHAnsi" w:hAnsiTheme="minorHAnsi" w:cstheme="minorBidi"/>
          <w:noProof/>
          <w:sz w:val="22"/>
          <w:szCs w:val="22"/>
        </w:rPr>
      </w:pPr>
      <w:hyperlink w:anchor="_Toc57814606" w:history="1">
        <w:r w:rsidRPr="00A51F30">
          <w:rPr>
            <w:rStyle w:val="Lienhypertexte"/>
            <w:noProof/>
          </w:rPr>
          <w:t>39-01-02 – Nature du contrat</w:t>
        </w:r>
        <w:r>
          <w:rPr>
            <w:noProof/>
            <w:webHidden/>
          </w:rPr>
          <w:tab/>
        </w:r>
        <w:r>
          <w:rPr>
            <w:noProof/>
            <w:webHidden/>
          </w:rPr>
          <w:fldChar w:fldCharType="begin"/>
        </w:r>
        <w:r>
          <w:rPr>
            <w:noProof/>
            <w:webHidden/>
          </w:rPr>
          <w:instrText xml:space="preserve"> PAGEREF _Toc57814606 \h </w:instrText>
        </w:r>
        <w:r>
          <w:rPr>
            <w:noProof/>
            <w:webHidden/>
          </w:rPr>
        </w:r>
        <w:r>
          <w:rPr>
            <w:noProof/>
            <w:webHidden/>
          </w:rPr>
          <w:fldChar w:fldCharType="separate"/>
        </w:r>
        <w:r>
          <w:rPr>
            <w:noProof/>
            <w:webHidden/>
          </w:rPr>
          <w:t>9</w:t>
        </w:r>
        <w:r>
          <w:rPr>
            <w:noProof/>
            <w:webHidden/>
          </w:rPr>
          <w:fldChar w:fldCharType="end"/>
        </w:r>
      </w:hyperlink>
    </w:p>
    <w:p w:rsidR="00193E87" w:rsidRDefault="00193E87">
      <w:pPr>
        <w:pStyle w:val="TM1"/>
        <w:tabs>
          <w:tab w:val="right" w:leader="dot" w:pos="9060"/>
        </w:tabs>
        <w:rPr>
          <w:rFonts w:asciiTheme="minorHAnsi" w:hAnsiTheme="minorHAnsi" w:cstheme="minorBidi"/>
          <w:b w:val="0"/>
          <w:bCs w:val="0"/>
          <w:smallCaps w:val="0"/>
          <w:noProof/>
          <w:sz w:val="22"/>
          <w:szCs w:val="22"/>
        </w:rPr>
      </w:pPr>
      <w:hyperlink w:anchor="_Toc57814607" w:history="1">
        <w:r w:rsidRPr="00A51F30">
          <w:rPr>
            <w:rStyle w:val="Lienhypertexte"/>
            <w:noProof/>
          </w:rPr>
          <w:t>54 – Procédure</w:t>
        </w:r>
        <w:r>
          <w:rPr>
            <w:noProof/>
            <w:webHidden/>
          </w:rPr>
          <w:tab/>
        </w:r>
        <w:r>
          <w:rPr>
            <w:noProof/>
            <w:webHidden/>
          </w:rPr>
          <w:fldChar w:fldCharType="begin"/>
        </w:r>
        <w:r>
          <w:rPr>
            <w:noProof/>
            <w:webHidden/>
          </w:rPr>
          <w:instrText xml:space="preserve"> PAGEREF _Toc57814607 \h </w:instrText>
        </w:r>
        <w:r>
          <w:rPr>
            <w:noProof/>
            <w:webHidden/>
          </w:rPr>
        </w:r>
        <w:r>
          <w:rPr>
            <w:noProof/>
            <w:webHidden/>
          </w:rPr>
          <w:fldChar w:fldCharType="separate"/>
        </w:r>
        <w:r>
          <w:rPr>
            <w:noProof/>
            <w:webHidden/>
          </w:rPr>
          <w:t>11</w:t>
        </w:r>
        <w:r>
          <w:rPr>
            <w:noProof/>
            <w:webHidden/>
          </w:rPr>
          <w:fldChar w:fldCharType="end"/>
        </w:r>
      </w:hyperlink>
    </w:p>
    <w:p w:rsidR="00193E87" w:rsidRDefault="00193E87">
      <w:pPr>
        <w:pStyle w:val="TM2"/>
        <w:tabs>
          <w:tab w:val="right" w:leader="dot" w:pos="9060"/>
        </w:tabs>
        <w:rPr>
          <w:rFonts w:asciiTheme="minorHAnsi" w:hAnsiTheme="minorHAnsi" w:cstheme="minorBidi"/>
          <w:i w:val="0"/>
          <w:iCs w:val="0"/>
          <w:noProof/>
        </w:rPr>
      </w:pPr>
      <w:hyperlink w:anchor="_Toc57814608" w:history="1">
        <w:r w:rsidRPr="00A51F30">
          <w:rPr>
            <w:rStyle w:val="Lienhypertexte"/>
            <w:noProof/>
          </w:rPr>
          <w:t>54-09 – Tribunal des conflits</w:t>
        </w:r>
        <w:r>
          <w:rPr>
            <w:noProof/>
            <w:webHidden/>
          </w:rPr>
          <w:tab/>
        </w:r>
        <w:r>
          <w:rPr>
            <w:noProof/>
            <w:webHidden/>
          </w:rPr>
          <w:fldChar w:fldCharType="begin"/>
        </w:r>
        <w:r>
          <w:rPr>
            <w:noProof/>
            <w:webHidden/>
          </w:rPr>
          <w:instrText xml:space="preserve"> PAGEREF _Toc57814608 \h </w:instrText>
        </w:r>
        <w:r>
          <w:rPr>
            <w:noProof/>
            <w:webHidden/>
          </w:rPr>
        </w:r>
        <w:r>
          <w:rPr>
            <w:noProof/>
            <w:webHidden/>
          </w:rPr>
          <w:fldChar w:fldCharType="separate"/>
        </w:r>
        <w:r>
          <w:rPr>
            <w:noProof/>
            <w:webHidden/>
          </w:rPr>
          <w:t>11</w:t>
        </w:r>
        <w:r>
          <w:rPr>
            <w:noProof/>
            <w:webHidden/>
          </w:rPr>
          <w:fldChar w:fldCharType="end"/>
        </w:r>
      </w:hyperlink>
    </w:p>
    <w:p w:rsidR="00193E87" w:rsidRDefault="00193E87">
      <w:pPr>
        <w:pStyle w:val="TM3"/>
        <w:tabs>
          <w:tab w:val="right" w:leader="dot" w:pos="9060"/>
        </w:tabs>
        <w:rPr>
          <w:rFonts w:asciiTheme="minorHAnsi" w:hAnsiTheme="minorHAnsi" w:cstheme="minorBidi"/>
          <w:noProof/>
          <w:sz w:val="22"/>
          <w:szCs w:val="22"/>
        </w:rPr>
      </w:pPr>
      <w:hyperlink w:anchor="_Toc57814609" w:history="1">
        <w:r w:rsidRPr="00A51F30">
          <w:rPr>
            <w:rStyle w:val="Lienhypertexte"/>
            <w:noProof/>
          </w:rPr>
          <w:t>54-09-03 – Déni de justice</w:t>
        </w:r>
        <w:r>
          <w:rPr>
            <w:noProof/>
            <w:webHidden/>
          </w:rPr>
          <w:tab/>
        </w:r>
        <w:r>
          <w:rPr>
            <w:noProof/>
            <w:webHidden/>
          </w:rPr>
          <w:fldChar w:fldCharType="begin"/>
        </w:r>
        <w:r>
          <w:rPr>
            <w:noProof/>
            <w:webHidden/>
          </w:rPr>
          <w:instrText xml:space="preserve"> PAGEREF _Toc57814609 \h </w:instrText>
        </w:r>
        <w:r>
          <w:rPr>
            <w:noProof/>
            <w:webHidden/>
          </w:rPr>
        </w:r>
        <w:r>
          <w:rPr>
            <w:noProof/>
            <w:webHidden/>
          </w:rPr>
          <w:fldChar w:fldCharType="separate"/>
        </w:r>
        <w:r>
          <w:rPr>
            <w:noProof/>
            <w:webHidden/>
          </w:rPr>
          <w:t>11</w:t>
        </w:r>
        <w:r>
          <w:rPr>
            <w:noProof/>
            <w:webHidden/>
          </w:rPr>
          <w:fldChar w:fldCharType="end"/>
        </w:r>
      </w:hyperlink>
    </w:p>
    <w:p w:rsidR="00193E87" w:rsidRDefault="00193E87">
      <w:pPr>
        <w:pStyle w:val="TM1"/>
        <w:tabs>
          <w:tab w:val="right" w:leader="dot" w:pos="9060"/>
        </w:tabs>
        <w:rPr>
          <w:rFonts w:asciiTheme="minorHAnsi" w:hAnsiTheme="minorHAnsi" w:cstheme="minorBidi"/>
          <w:b w:val="0"/>
          <w:bCs w:val="0"/>
          <w:smallCaps w:val="0"/>
          <w:noProof/>
          <w:sz w:val="22"/>
          <w:szCs w:val="22"/>
        </w:rPr>
      </w:pPr>
      <w:hyperlink w:anchor="_Toc57814610" w:history="1">
        <w:r w:rsidRPr="00A51F30">
          <w:rPr>
            <w:rStyle w:val="Lienhypertexte"/>
            <w:noProof/>
          </w:rPr>
          <w:t>67 – Travaux publics</w:t>
        </w:r>
        <w:r>
          <w:rPr>
            <w:noProof/>
            <w:webHidden/>
          </w:rPr>
          <w:tab/>
        </w:r>
        <w:r>
          <w:rPr>
            <w:noProof/>
            <w:webHidden/>
          </w:rPr>
          <w:fldChar w:fldCharType="begin"/>
        </w:r>
        <w:r>
          <w:rPr>
            <w:noProof/>
            <w:webHidden/>
          </w:rPr>
          <w:instrText xml:space="preserve"> PAGEREF _Toc57814610 \h </w:instrText>
        </w:r>
        <w:r>
          <w:rPr>
            <w:noProof/>
            <w:webHidden/>
          </w:rPr>
        </w:r>
        <w:r>
          <w:rPr>
            <w:noProof/>
            <w:webHidden/>
          </w:rPr>
          <w:fldChar w:fldCharType="separate"/>
        </w:r>
        <w:r>
          <w:rPr>
            <w:noProof/>
            <w:webHidden/>
          </w:rPr>
          <w:t>13</w:t>
        </w:r>
        <w:r>
          <w:rPr>
            <w:noProof/>
            <w:webHidden/>
          </w:rPr>
          <w:fldChar w:fldCharType="end"/>
        </w:r>
      </w:hyperlink>
    </w:p>
    <w:p w:rsidR="00193E87" w:rsidRDefault="00193E87">
      <w:pPr>
        <w:pStyle w:val="TM2"/>
        <w:tabs>
          <w:tab w:val="right" w:leader="dot" w:pos="9060"/>
        </w:tabs>
        <w:rPr>
          <w:rFonts w:asciiTheme="minorHAnsi" w:hAnsiTheme="minorHAnsi" w:cstheme="minorBidi"/>
          <w:i w:val="0"/>
          <w:iCs w:val="0"/>
          <w:noProof/>
        </w:rPr>
      </w:pPr>
      <w:hyperlink w:anchor="_Toc57814611" w:history="1">
        <w:r w:rsidRPr="00A51F30">
          <w:rPr>
            <w:rStyle w:val="Lienhypertexte"/>
            <w:noProof/>
          </w:rPr>
          <w:t>67-01 – Notion de travail public et d'ouvrage public</w:t>
        </w:r>
        <w:r>
          <w:rPr>
            <w:noProof/>
            <w:webHidden/>
          </w:rPr>
          <w:tab/>
        </w:r>
        <w:r>
          <w:rPr>
            <w:noProof/>
            <w:webHidden/>
          </w:rPr>
          <w:fldChar w:fldCharType="begin"/>
        </w:r>
        <w:r>
          <w:rPr>
            <w:noProof/>
            <w:webHidden/>
          </w:rPr>
          <w:instrText xml:space="preserve"> PAGEREF _Toc57814611 \h </w:instrText>
        </w:r>
        <w:r>
          <w:rPr>
            <w:noProof/>
            <w:webHidden/>
          </w:rPr>
        </w:r>
        <w:r>
          <w:rPr>
            <w:noProof/>
            <w:webHidden/>
          </w:rPr>
          <w:fldChar w:fldCharType="separate"/>
        </w:r>
        <w:r>
          <w:rPr>
            <w:noProof/>
            <w:webHidden/>
          </w:rPr>
          <w:t>13</w:t>
        </w:r>
        <w:r>
          <w:rPr>
            <w:noProof/>
            <w:webHidden/>
          </w:rPr>
          <w:fldChar w:fldCharType="end"/>
        </w:r>
      </w:hyperlink>
    </w:p>
    <w:p w:rsidR="00193E87" w:rsidRDefault="00193E87">
      <w:pPr>
        <w:pStyle w:val="TM3"/>
        <w:tabs>
          <w:tab w:val="right" w:leader="dot" w:pos="9060"/>
        </w:tabs>
        <w:rPr>
          <w:rFonts w:asciiTheme="minorHAnsi" w:hAnsiTheme="minorHAnsi" w:cstheme="minorBidi"/>
          <w:noProof/>
          <w:sz w:val="22"/>
          <w:szCs w:val="22"/>
        </w:rPr>
      </w:pPr>
      <w:hyperlink w:anchor="_Toc57814612" w:history="1">
        <w:r w:rsidRPr="00A51F30">
          <w:rPr>
            <w:rStyle w:val="Lienhypertexte"/>
            <w:noProof/>
          </w:rPr>
          <w:t>67-01-01 – Travail public</w:t>
        </w:r>
        <w:r>
          <w:rPr>
            <w:noProof/>
            <w:webHidden/>
          </w:rPr>
          <w:tab/>
        </w:r>
        <w:r>
          <w:rPr>
            <w:noProof/>
            <w:webHidden/>
          </w:rPr>
          <w:fldChar w:fldCharType="begin"/>
        </w:r>
        <w:r>
          <w:rPr>
            <w:noProof/>
            <w:webHidden/>
          </w:rPr>
          <w:instrText xml:space="preserve"> PAGEREF _Toc57814612 \h </w:instrText>
        </w:r>
        <w:r>
          <w:rPr>
            <w:noProof/>
            <w:webHidden/>
          </w:rPr>
        </w:r>
        <w:r>
          <w:rPr>
            <w:noProof/>
            <w:webHidden/>
          </w:rPr>
          <w:fldChar w:fldCharType="separate"/>
        </w:r>
        <w:r>
          <w:rPr>
            <w:noProof/>
            <w:webHidden/>
          </w:rPr>
          <w:t>13</w:t>
        </w:r>
        <w:r>
          <w:rPr>
            <w:noProof/>
            <w:webHidden/>
          </w:rPr>
          <w:fldChar w:fldCharType="end"/>
        </w:r>
      </w:hyperlink>
    </w:p>
    <w:p w:rsidR="002871C7" w:rsidRDefault="00834424">
      <w:pPr>
        <w:rPr>
          <w:sz w:val="24"/>
          <w:szCs w:val="24"/>
        </w:rPr>
        <w:sectPr w:rsidR="002871C7">
          <w:type w:val="oddPage"/>
          <w:pgSz w:w="11906" w:h="16838"/>
          <w:pgMar w:top="1134" w:right="1418" w:bottom="1418" w:left="1418" w:header="720" w:footer="720" w:gutter="0"/>
          <w:cols w:space="720"/>
          <w:noEndnote/>
        </w:sectPr>
      </w:pPr>
      <w:r w:rsidRPr="00834424">
        <w:rPr>
          <w:sz w:val="22"/>
          <w:szCs w:val="24"/>
        </w:rPr>
        <w:fldChar w:fldCharType="end"/>
      </w:r>
    </w:p>
    <w:p w:rsidR="002871C7" w:rsidRDefault="00834424">
      <w:pPr>
        <w:pStyle w:val="Titre1"/>
        <w:widowControl/>
      </w:pPr>
      <w:bookmarkStart w:id="1" w:name="_Toc57814601"/>
      <w:r>
        <w:t>17 – Compétence</w:t>
      </w:r>
      <w:bookmarkEnd w:id="1"/>
    </w:p>
    <w:p w:rsidR="002871C7" w:rsidRDefault="00834424">
      <w:pPr>
        <w:pStyle w:val="Titre2"/>
        <w:widowControl/>
        <w:rPr>
          <w:sz w:val="36"/>
          <w:szCs w:val="36"/>
        </w:rPr>
      </w:pPr>
      <w:bookmarkStart w:id="2" w:name="_Toc57814602"/>
      <w:r>
        <w:rPr>
          <w:sz w:val="36"/>
          <w:szCs w:val="36"/>
        </w:rPr>
        <w:t>17-03 – Répartition des compétences entre les deux ordres de juridiction</w:t>
      </w:r>
      <w:bookmarkEnd w:id="2"/>
    </w:p>
    <w:p w:rsidR="002871C7" w:rsidRDefault="00834424">
      <w:pPr>
        <w:pStyle w:val="Titre3"/>
        <w:widowControl/>
      </w:pPr>
      <w:bookmarkStart w:id="3" w:name="_Toc57814603"/>
      <w:r>
        <w:t>17-03-02 – Compétence déterminée par un critère jurisprudentiel</w:t>
      </w:r>
      <w:bookmarkEnd w:id="3"/>
    </w:p>
    <w:p w:rsidR="002871C7" w:rsidRDefault="00834424">
      <w:pPr>
        <w:pStyle w:val="Titre4"/>
        <w:widowControl/>
      </w:pPr>
      <w:r>
        <w:t>17-03-02-03 – Contrats</w:t>
      </w:r>
    </w:p>
    <w:p w:rsidR="002871C7" w:rsidRDefault="00834424">
      <w:pPr>
        <w:pStyle w:val="Titre5"/>
        <w:widowControl/>
      </w:pPr>
      <w:r>
        <w:t>17-03-02-03-02 – Contrats administratifs</w:t>
      </w:r>
    </w:p>
    <w:p w:rsidR="002871C7" w:rsidRDefault="00834424">
      <w:pPr>
        <w:pStyle w:val="Titre6"/>
        <w:widowControl/>
      </w:pPr>
      <w:r>
        <w:t>17-03-02-03-02-02 – Contrats comportant des clauses exorbitantes du droit commun</w:t>
      </w:r>
    </w:p>
    <w:p w:rsidR="002871C7" w:rsidRDefault="00834424">
      <w:pPr>
        <w:pStyle w:val="Queue"/>
        <w:widowControl/>
      </w:pPr>
      <w:r>
        <w:t>Absence - Clause exorbitante bénéficiant à la personne privée (1).</w:t>
      </w:r>
    </w:p>
    <w:p w:rsidR="002871C7" w:rsidRDefault="00834424">
      <w:pPr>
        <w:pStyle w:val="Analyse"/>
        <w:widowControl/>
      </w:pPr>
      <w:r>
        <w:t>La circonstance qu'un contrat, passé entre une personne privée et une personne publique, comporte des clauses conférant à la personne privée des prérogatives particulières, notamment le pouvoir de résilier unilatéralement le contrat pour motif d'intérêt général, n'est pas de nature à faire regarder ce contrat comme administratif, dès lors que les prérogatives en cause sont reconnues à la personne privée contractante et non à la personne publique (</w:t>
      </w:r>
      <w:r>
        <w:rPr>
          <w:i/>
          <w:iCs/>
        </w:rPr>
        <w:t>Société Eveha c/ Institut National de Recherches Archéologiques Préventives</w:t>
      </w:r>
      <w:r>
        <w:t>, 4196, 2 novembre 2020, A, M. Ménéménis, pdt., M. Stahl, rapp., Mme Berriat, rapp. publ.).</w:t>
      </w:r>
    </w:p>
    <w:p w:rsidR="002871C7" w:rsidRDefault="00834424">
      <w:pPr>
        <w:pStyle w:val="Notes"/>
        <w:widowControl/>
      </w:pPr>
      <w:r>
        <w:t>1. Cf. en précisant, TC, 13 octobre 2014, SA AXA France IARD, n° 3963, p. 471.</w:t>
      </w:r>
    </w:p>
    <w:p w:rsidR="002871C7" w:rsidRDefault="002871C7">
      <w:pPr>
        <w:pStyle w:val="Notes"/>
        <w:widowControl/>
      </w:pPr>
    </w:p>
    <w:p w:rsidR="002871C7" w:rsidRDefault="00834424">
      <w:pPr>
        <w:pStyle w:val="Titre6"/>
        <w:widowControl/>
      </w:pPr>
      <w:r>
        <w:t>17-03-02-03-02-03 – Contrats comportant participation au service public</w:t>
      </w:r>
    </w:p>
    <w:p w:rsidR="002871C7" w:rsidRDefault="00834424">
      <w:pPr>
        <w:pStyle w:val="Queue"/>
        <w:widowControl/>
      </w:pPr>
      <w:r>
        <w:t>Contrat conclu par une personne publique (1) - Contrat confiant à l'INRAP la réalisation de fouilles d'archéologie préventive.</w:t>
      </w:r>
    </w:p>
    <w:p w:rsidR="002871C7" w:rsidRDefault="00834424">
      <w:pPr>
        <w:pStyle w:val="Analyse"/>
        <w:widowControl/>
      </w:pPr>
      <w:r>
        <w:t>Il résulte des articles L. 521-1, L. 522-1, L. 523-1, L. 523-8, L. 523-8-1, L. 523-10 et R. 545-24 du code du patrimoine que le législateur a entendu créer un service public de l'archéologie préventive et a notamment, dans ce cadre, chargé l'Institut national de recherches archéologiques préventives (INRAP) de réaliser des diagnostics d'archéologie préventive et d'effectuer, dans les conditions prévues par le code du patrimoine, des fouilles. Il suit de là que le contrat par lequel la personne projetant d'exécuter les travaux qui ont donné lieu à la prescription, par l'Etat, de réaliser des fouilles d'archéologie préventive confie à l'INRAP, établissement public, le soin de réaliser ces opérations de fouilles a pour objet l'exécution même de la mission de service public de l'archéologie préventive.</w:t>
      </w:r>
    </w:p>
    <w:p w:rsidR="002871C7" w:rsidRDefault="00834424">
      <w:pPr>
        <w:pStyle w:val="Analyse"/>
        <w:widowControl/>
      </w:pPr>
      <w:r>
        <w:t>Par suite, le litige relève de la compétence de la juridiction administrative (</w:t>
      </w:r>
      <w:r>
        <w:rPr>
          <w:i/>
          <w:iCs/>
        </w:rPr>
        <w:t>Société Eveha c/ Institut National de Recherches Archéologiques Préventives</w:t>
      </w:r>
      <w:r>
        <w:t>, 4196, 2 novembre 2020, A, M. Ménéménis, pdt., M. Stahl, rapp., Mme Berriat, rapp. publ.).</w:t>
      </w:r>
    </w:p>
    <w:p w:rsidR="002871C7" w:rsidRDefault="00834424">
      <w:pPr>
        <w:pStyle w:val="Notes"/>
        <w:widowControl/>
      </w:pPr>
      <w:r>
        <w:t>1. Rappr., CE, Section, 1956-04-20, Ministre de l'agriculture c/ Consorts Grimouard, p. 168.</w:t>
      </w:r>
    </w:p>
    <w:p w:rsidR="002871C7" w:rsidRDefault="002871C7">
      <w:pPr>
        <w:pStyle w:val="Notes"/>
        <w:widowControl/>
      </w:pPr>
    </w:p>
    <w:p w:rsidR="002871C7" w:rsidRDefault="00834424">
      <w:pPr>
        <w:pStyle w:val="Titre4"/>
        <w:widowControl/>
      </w:pPr>
      <w:r>
        <w:t>17-03-02-06 – Travaux publics</w:t>
      </w:r>
    </w:p>
    <w:p w:rsidR="002871C7" w:rsidRDefault="00834424">
      <w:pPr>
        <w:pStyle w:val="Queue"/>
        <w:widowControl/>
      </w:pPr>
      <w:r>
        <w:t>Travaux effectués par une personne publique dans le cadre d'une mission de service public (1) - Fouilles d'archéologie préventive réalisées par l'INRAP.</w:t>
      </w:r>
    </w:p>
    <w:p w:rsidR="002871C7" w:rsidRDefault="00834424">
      <w:pPr>
        <w:pStyle w:val="Analyse"/>
        <w:widowControl/>
      </w:pPr>
      <w:r>
        <w:t>Il résulte des articles L. 521-1, L. 522-1, L. 523-1, L. 523-8, L. 523-8-1, L. 523-10 et R. 545-24 du code du patrimoine que le législateur a entendu créer un service public de l'archéologie préventive et a notamment, dans ce cadre, chargé l'Institut national de recherches archéologiques préventives (INRAP) de réaliser des diagnostics d'archéologie préventive et d'effectuer, dans les conditions prévues par le code du patrimoine, des fouilles.</w:t>
      </w:r>
    </w:p>
    <w:p w:rsidR="002871C7" w:rsidRDefault="00834424">
      <w:pPr>
        <w:pStyle w:val="Analyse"/>
        <w:widowControl/>
      </w:pPr>
      <w:r>
        <w:t>Il suit de là que ces opérations de fouilles, dès lors qu'elles sont effectuées par cet établissement public dans le cadre de cette mission de service public, présentent le caractère de travaux publics.</w:t>
      </w:r>
    </w:p>
    <w:p w:rsidR="002871C7" w:rsidRDefault="00834424">
      <w:pPr>
        <w:pStyle w:val="Analyse"/>
        <w:widowControl/>
      </w:pPr>
      <w:r>
        <w:t>Par suite, le litige relève de la compétence de la juridiction administrative (</w:t>
      </w:r>
      <w:r>
        <w:rPr>
          <w:i/>
          <w:iCs/>
        </w:rPr>
        <w:t>Société Eveha c/ Institut National de Recherches Archéologiques Préventives</w:t>
      </w:r>
      <w:r>
        <w:t>, 4196, 2 novembre 2020, A, M. Ménéménis, pdt., M. Stahl, rapp., Mme Berriat, rapp. publ.).</w:t>
      </w:r>
    </w:p>
    <w:p w:rsidR="002871C7" w:rsidRDefault="00834424">
      <w:pPr>
        <w:pStyle w:val="Notes"/>
        <w:widowControl/>
      </w:pPr>
      <w:r>
        <w:t>1. Cf. TC, 28 mars 1955, Association syndicale de reconstruction de Toulon c / Effimieff, p. 617.</w:t>
      </w:r>
    </w:p>
    <w:p w:rsidR="002871C7" w:rsidRDefault="002871C7">
      <w:pPr>
        <w:pStyle w:val="Notes"/>
        <w:widowControl/>
        <w:sectPr w:rsidR="002871C7">
          <w:headerReference w:type="default" r:id="rId9"/>
          <w:footerReference w:type="default" r:id="rId10"/>
          <w:type w:val="oddPage"/>
          <w:pgSz w:w="11906" w:h="16838"/>
          <w:pgMar w:top="1134" w:right="1418" w:bottom="1418" w:left="1418" w:header="708" w:footer="708" w:gutter="0"/>
          <w:cols w:space="708"/>
          <w:docGrid w:linePitch="360"/>
        </w:sectPr>
      </w:pPr>
    </w:p>
    <w:p w:rsidR="002871C7" w:rsidRDefault="00834424">
      <w:pPr>
        <w:pStyle w:val="Titre1"/>
        <w:widowControl/>
      </w:pPr>
      <w:bookmarkStart w:id="4" w:name="_Toc57814604"/>
      <w:r>
        <w:t>39 – Marchés et contrats administratifs</w:t>
      </w:r>
      <w:bookmarkEnd w:id="4"/>
    </w:p>
    <w:p w:rsidR="002871C7" w:rsidRDefault="00834424">
      <w:pPr>
        <w:pStyle w:val="Titre2"/>
        <w:widowControl/>
        <w:rPr>
          <w:sz w:val="36"/>
          <w:szCs w:val="36"/>
        </w:rPr>
      </w:pPr>
      <w:bookmarkStart w:id="5" w:name="_Toc57814605"/>
      <w:r>
        <w:rPr>
          <w:sz w:val="36"/>
          <w:szCs w:val="36"/>
        </w:rPr>
        <w:t>39-01 – Notion de contrat administratif</w:t>
      </w:r>
      <w:bookmarkEnd w:id="5"/>
    </w:p>
    <w:p w:rsidR="002871C7" w:rsidRDefault="00834424">
      <w:pPr>
        <w:pStyle w:val="Titre3"/>
        <w:widowControl/>
      </w:pPr>
      <w:bookmarkStart w:id="6" w:name="_Toc57814606"/>
      <w:r>
        <w:t>39-01-02 – Nature du contrat</w:t>
      </w:r>
      <w:bookmarkEnd w:id="6"/>
    </w:p>
    <w:p w:rsidR="002871C7" w:rsidRDefault="00834424">
      <w:pPr>
        <w:pStyle w:val="Titre4"/>
        <w:widowControl/>
      </w:pPr>
      <w:r>
        <w:t>39-01-02-01 – Contrats ayant un caractère administratif</w:t>
      </w:r>
    </w:p>
    <w:p w:rsidR="002871C7" w:rsidRDefault="00834424">
      <w:pPr>
        <w:pStyle w:val="Titre5"/>
        <w:widowControl/>
      </w:pPr>
      <w:r>
        <w:t>39-01-02-01-02 – Contrats ayant pour objet l'exécution d'un service public</w:t>
      </w:r>
    </w:p>
    <w:p w:rsidR="002871C7" w:rsidRDefault="00834424">
      <w:pPr>
        <w:pStyle w:val="Queue"/>
        <w:widowControl/>
      </w:pPr>
      <w:r>
        <w:t>Contrat conclu par une personne publique (1) - Contrat confiant à l'INRAP la réalisation de fouilles d'archéologie préventive.</w:t>
      </w:r>
    </w:p>
    <w:p w:rsidR="002871C7" w:rsidRDefault="00834424">
      <w:pPr>
        <w:pStyle w:val="Analyse"/>
        <w:widowControl/>
      </w:pPr>
      <w:r>
        <w:t>Il résulte des articles L. 521-1, L. 522-1, L. 523-1, L. 523-8, L. 523-8-1, L. 523-10 et R. 545-24 du code du patrimoine que le législateur a entendu créer un service public de l'archéologie préventive et a notamment, dans ce cadre, chargé l'Institut national de recherches archéologiques préventives (INRAP) de réaliser des diagnostics d'archéologie préventive et d'effectuer, dans les conditions prévues par le code du patrimoine, des fouilles.</w:t>
      </w:r>
    </w:p>
    <w:p w:rsidR="002871C7" w:rsidRDefault="00834424">
      <w:pPr>
        <w:pStyle w:val="Analyse"/>
        <w:widowControl/>
      </w:pPr>
      <w:r>
        <w:t>Il suit de là que le contrat par lequel la personne projetant d'exécuter les travaux qui ont donné lieu à la prescription, par l'Etat, de réaliser des fouilles d'archéologie préventive confie à l'INRAP, établissement public, le soin de réaliser ces opérations de fouilles a pour objet l'exécution même de la mission de service public de l'archéologie préventive.</w:t>
      </w:r>
    </w:p>
    <w:p w:rsidR="002871C7" w:rsidRDefault="00834424">
      <w:pPr>
        <w:pStyle w:val="Analyse"/>
        <w:widowControl/>
      </w:pPr>
      <w:r>
        <w:t>Par suite, le litige relève de la compétence de la juridiction administrative (</w:t>
      </w:r>
      <w:r>
        <w:rPr>
          <w:i/>
          <w:iCs/>
        </w:rPr>
        <w:t>Société Eveha c/ Institut National de Recherches Archéologiques Préventives</w:t>
      </w:r>
      <w:r>
        <w:t>, 4196, 2 novembre 2020, A, M. Ménéménis, pdt., M. Stahl, rapp., Mme Berriat, rapp. publ.).</w:t>
      </w:r>
    </w:p>
    <w:p w:rsidR="002871C7" w:rsidRDefault="00834424">
      <w:pPr>
        <w:pStyle w:val="Notes"/>
        <w:widowControl/>
      </w:pPr>
      <w:r>
        <w:t>1. Rappr., CE, Section, 1956-04-20, Ministre de l'agriculture c/ Consorts Grimouard, p. 168.</w:t>
      </w:r>
    </w:p>
    <w:p w:rsidR="002871C7" w:rsidRDefault="002871C7">
      <w:pPr>
        <w:pStyle w:val="Notes"/>
        <w:widowControl/>
      </w:pPr>
    </w:p>
    <w:p w:rsidR="002871C7" w:rsidRDefault="00834424">
      <w:pPr>
        <w:pStyle w:val="Titre5"/>
        <w:widowControl/>
      </w:pPr>
      <w:r>
        <w:t>39-01-02-01-03 – Contrats contenant des clauses exorbitantes du droit commun</w:t>
      </w:r>
    </w:p>
    <w:p w:rsidR="002871C7" w:rsidRDefault="00834424">
      <w:pPr>
        <w:pStyle w:val="Queue"/>
        <w:widowControl/>
      </w:pPr>
      <w:r>
        <w:t>Absence - Clause exorbitante bénéficiant à la personne privée (1).</w:t>
      </w:r>
    </w:p>
    <w:p w:rsidR="002871C7" w:rsidRDefault="00834424">
      <w:pPr>
        <w:pStyle w:val="Analyse"/>
        <w:widowControl/>
      </w:pPr>
      <w:r>
        <w:t>La circonstance qu'un contrat, passé entre une personne privée et une personne publique, comporte des clauses conférant à la personne privée des prérogatives particulières, notamment le pouvoir de résilier unilatéralement le contrat pour motif d'intérêt général, n'est pas de nature à faire regarder ce contrat comme administratif, dès lors que les prérogatives en cause sont reconnues à la personne privée contractante et non à la personne publique (</w:t>
      </w:r>
      <w:r>
        <w:rPr>
          <w:i/>
          <w:iCs/>
        </w:rPr>
        <w:t>Société Eveha c/ Institut National de Recherches Archéologiques Préventives</w:t>
      </w:r>
      <w:r>
        <w:t>, 4196, 2 novembre 2020, A, M. Ménéménis, pdt., M. Stahl, rapp., Mme Berriat, rapp. publ.).</w:t>
      </w:r>
    </w:p>
    <w:p w:rsidR="002871C7" w:rsidRDefault="00834424">
      <w:pPr>
        <w:pStyle w:val="Notes"/>
        <w:widowControl/>
      </w:pPr>
      <w:r>
        <w:t>1. Cf. en précisant, TC, 13 octobre 2014, SA AXA France IARD, n° 3963, p. 471.</w:t>
      </w:r>
    </w:p>
    <w:p w:rsidR="002871C7" w:rsidRDefault="002871C7">
      <w:pPr>
        <w:pStyle w:val="Notes"/>
        <w:widowControl/>
      </w:pPr>
    </w:p>
    <w:p w:rsidR="002871C7" w:rsidRDefault="002871C7">
      <w:pPr>
        <w:pStyle w:val="Notes"/>
        <w:widowControl/>
        <w:sectPr w:rsidR="002871C7">
          <w:headerReference w:type="default" r:id="rId11"/>
          <w:footerReference w:type="default" r:id="rId12"/>
          <w:type w:val="oddPage"/>
          <w:pgSz w:w="11906" w:h="16838"/>
          <w:pgMar w:top="1134" w:right="1418" w:bottom="1418" w:left="1418" w:header="708" w:footer="708" w:gutter="0"/>
          <w:cols w:space="708"/>
          <w:docGrid w:linePitch="360"/>
        </w:sectPr>
      </w:pPr>
    </w:p>
    <w:p w:rsidR="002871C7" w:rsidRDefault="00834424">
      <w:pPr>
        <w:pStyle w:val="Titre1"/>
        <w:widowControl/>
      </w:pPr>
      <w:bookmarkStart w:id="7" w:name="_Toc57814607"/>
      <w:r>
        <w:t>54 – Procédure</w:t>
      </w:r>
      <w:bookmarkEnd w:id="7"/>
    </w:p>
    <w:p w:rsidR="002871C7" w:rsidRDefault="00834424">
      <w:pPr>
        <w:pStyle w:val="Titre2"/>
        <w:widowControl/>
        <w:rPr>
          <w:sz w:val="36"/>
          <w:szCs w:val="36"/>
        </w:rPr>
      </w:pPr>
      <w:bookmarkStart w:id="8" w:name="_Toc57814608"/>
      <w:r>
        <w:rPr>
          <w:sz w:val="36"/>
          <w:szCs w:val="36"/>
        </w:rPr>
        <w:t>54-09 – Tribunal des conflits</w:t>
      </w:r>
      <w:bookmarkEnd w:id="8"/>
    </w:p>
    <w:p w:rsidR="002871C7" w:rsidRDefault="00834424">
      <w:pPr>
        <w:pStyle w:val="Titre3"/>
        <w:widowControl/>
      </w:pPr>
      <w:bookmarkStart w:id="9" w:name="_Toc57814609"/>
      <w:r>
        <w:t>54-09-03 – Déni de justice</w:t>
      </w:r>
      <w:bookmarkEnd w:id="9"/>
    </w:p>
    <w:p w:rsidR="002871C7" w:rsidRDefault="00834424">
      <w:pPr>
        <w:pStyle w:val="Queue"/>
        <w:widowControl/>
      </w:pPr>
      <w:r>
        <w:t>Demandeurs ayant recherché la réparation des conséquences dommageables d'une défaillance de prise en charge successivement par un médecin de ville et par un CHR - Demande partiellement accueillie par la juridiction administrative au titre de la faute du CHR - Demande rejetée par la juridiction judiciaire en l'absence de faute du médecin - 1) Recevabilité (art. 15 de la loi du 24 mai 1872) - a) Identité d'objet - Existence (1) - b) Contrariété - Existence - 2) Office du juge - Règlement complet du litige.</w:t>
      </w:r>
    </w:p>
    <w:p w:rsidR="002871C7" w:rsidRDefault="00834424">
      <w:pPr>
        <w:pStyle w:val="Analyse"/>
        <w:widowControl/>
      </w:pPr>
      <w:r>
        <w:t>Saisie d'une demande de condamnation d'un centre hospitalier régional (CHR) à raison d'un retard de diagnostic et de traitement, la juridiction administrative a mis la réparation de la moitié du préjudice à la charge de cet établissement, compte tenu des fautes respectives de celui-ci et d'un médecin traitant.</w:t>
      </w:r>
    </w:p>
    <w:p w:rsidR="002871C7" w:rsidRDefault="00834424">
      <w:pPr>
        <w:pStyle w:val="Analyse"/>
        <w:widowControl/>
      </w:pPr>
      <w:r>
        <w:t>Saisie de l'assignation du médecin traitant en responsabilité et indemnisation, la juridiction judiciaire a écarté l'existence d'une faute de l'intéressé, mis ce dernier hors de cause et rejeté la demande.</w:t>
      </w:r>
    </w:p>
    <w:p w:rsidR="002871C7" w:rsidRDefault="00834424">
      <w:pPr>
        <w:pStyle w:val="Analyse"/>
        <w:widowControl/>
      </w:pPr>
      <w:r>
        <w:t xml:space="preserve">1) a) Les demandes successivement portées devant les juridictions des deux ordres ont le même objet. </w:t>
      </w:r>
    </w:p>
    <w:p w:rsidR="002871C7" w:rsidRDefault="00834424">
      <w:pPr>
        <w:pStyle w:val="Analyse"/>
        <w:widowControl/>
      </w:pPr>
      <w:r>
        <w:t>b) Les décisions déférées présentent entre elles une contrariété.</w:t>
      </w:r>
    </w:p>
    <w:p w:rsidR="002871C7" w:rsidRDefault="00834424">
      <w:pPr>
        <w:pStyle w:val="Analyse"/>
        <w:widowControl/>
      </w:pPr>
      <w:r>
        <w:t>2) Valablement saisi sur le fondement de l'article 15 de la loi du 24 mai 1872, le Tribunal des conflits règle complètement le litige, et non pas dans la seule mesure de la contrariété ayant conduit au déni de justice. Il déclare nulles et non avenues celles des décisions des juridictions administratives et judiciaires qui sont contraires au dispositif de son arrêt (</w:t>
      </w:r>
      <w:r>
        <w:rPr>
          <w:i/>
          <w:iCs/>
        </w:rPr>
        <w:t>Mme D</w:t>
      </w:r>
      <w:r w:rsidR="00B7736F">
        <w:rPr>
          <w:i/>
          <w:iCs/>
        </w:rPr>
        <w:t>…</w:t>
      </w:r>
      <w:r>
        <w:rPr>
          <w:i/>
          <w:iCs/>
        </w:rPr>
        <w:t xml:space="preserve"> et autres c/ M. S</w:t>
      </w:r>
      <w:r w:rsidR="00B7736F">
        <w:rPr>
          <w:i/>
          <w:iCs/>
        </w:rPr>
        <w:t>…</w:t>
      </w:r>
      <w:r>
        <w:rPr>
          <w:i/>
          <w:iCs/>
        </w:rPr>
        <w:t xml:space="preserve"> et autres</w:t>
      </w:r>
      <w:r>
        <w:t>, 4194, 2 novembre 2020, A, M. Ménéménis, pdt., Mme Duval-Arnould, rapp., Mme Bokdam-Tognetti, rapp. publ.).</w:t>
      </w:r>
    </w:p>
    <w:p w:rsidR="002871C7" w:rsidRDefault="00834424">
      <w:pPr>
        <w:pStyle w:val="Notes"/>
        <w:widowControl/>
      </w:pPr>
      <w:r>
        <w:t>1. Cf. TC, 14 février 2000, R</w:t>
      </w:r>
      <w:r w:rsidR="00B7736F">
        <w:t>…</w:t>
      </w:r>
      <w:r>
        <w:t>, n° 2929, p. 749.</w:t>
      </w:r>
    </w:p>
    <w:p w:rsidR="002871C7" w:rsidRDefault="002871C7">
      <w:pPr>
        <w:pStyle w:val="Notes"/>
        <w:widowControl/>
        <w:sectPr w:rsidR="002871C7">
          <w:headerReference w:type="default" r:id="rId13"/>
          <w:footerReference w:type="default" r:id="rId14"/>
          <w:type w:val="oddPage"/>
          <w:pgSz w:w="11906" w:h="16838"/>
          <w:pgMar w:top="1134" w:right="1418" w:bottom="1418" w:left="1418" w:header="708" w:footer="708" w:gutter="0"/>
          <w:cols w:space="708"/>
          <w:docGrid w:linePitch="360"/>
        </w:sectPr>
      </w:pPr>
    </w:p>
    <w:p w:rsidR="002871C7" w:rsidRDefault="00834424">
      <w:pPr>
        <w:pStyle w:val="Titre1"/>
        <w:widowControl/>
      </w:pPr>
      <w:bookmarkStart w:id="10" w:name="_Toc57814610"/>
      <w:r>
        <w:t>67 – Travaux publics</w:t>
      </w:r>
      <w:bookmarkEnd w:id="10"/>
    </w:p>
    <w:p w:rsidR="002871C7" w:rsidRDefault="00834424">
      <w:pPr>
        <w:pStyle w:val="Titre2"/>
        <w:widowControl/>
        <w:rPr>
          <w:sz w:val="36"/>
          <w:szCs w:val="36"/>
        </w:rPr>
      </w:pPr>
      <w:bookmarkStart w:id="11" w:name="_Toc57814611"/>
      <w:r>
        <w:rPr>
          <w:sz w:val="36"/>
          <w:szCs w:val="36"/>
        </w:rPr>
        <w:t>67-01 – Notion de travail public et d'ouvrage public</w:t>
      </w:r>
      <w:bookmarkEnd w:id="11"/>
    </w:p>
    <w:p w:rsidR="002871C7" w:rsidRDefault="00834424">
      <w:pPr>
        <w:pStyle w:val="Titre3"/>
        <w:widowControl/>
      </w:pPr>
      <w:bookmarkStart w:id="12" w:name="_Toc57814612"/>
      <w:r>
        <w:t>67-01-01 – Travail public</w:t>
      </w:r>
      <w:bookmarkEnd w:id="12"/>
    </w:p>
    <w:p w:rsidR="002871C7" w:rsidRDefault="00834424">
      <w:pPr>
        <w:pStyle w:val="Titre4"/>
        <w:widowControl/>
      </w:pPr>
      <w:r>
        <w:t>67-01-01-01 – Travaux présentant ce caractère</w:t>
      </w:r>
    </w:p>
    <w:p w:rsidR="002871C7" w:rsidRDefault="00834424">
      <w:pPr>
        <w:pStyle w:val="Queue"/>
        <w:widowControl/>
      </w:pPr>
      <w:r>
        <w:t>Travaux effectués par une personne publique dans le cadre d'une mission de service public (1) - Fouilles d'archéologie préventive réalisées par l'INRAP.</w:t>
      </w:r>
    </w:p>
    <w:p w:rsidR="002871C7" w:rsidRDefault="00834424">
      <w:pPr>
        <w:pStyle w:val="Analyse"/>
        <w:widowControl/>
      </w:pPr>
      <w:r>
        <w:t>Il résulte des articles L. 521-1, L. 522-1, L. 523-1, L. 523-8, L. 523-8-1, L. 523-10 et R. 545-24 du code du patrimoine que le législateur a entendu créer un service public de l'archéologie préventive et a notamment, dans ce cadre, chargé l'Institut national de recherches archéologiques préventives (INRAP) de réaliser des diagnostics d'archéologie préventive et d'effectuer, dans les conditions prévues par le code du patrimoine, des fouilles.</w:t>
      </w:r>
    </w:p>
    <w:p w:rsidR="002871C7" w:rsidRDefault="00834424">
      <w:pPr>
        <w:pStyle w:val="Analyse"/>
        <w:widowControl/>
      </w:pPr>
      <w:r>
        <w:t>Il suit de là que ces opérations de fouilles, dès lors qu'elles sont effectuées par cet établissement public dans le cadre de cette mission de service public, présentent le caractère de travaux publics (</w:t>
      </w:r>
      <w:r>
        <w:rPr>
          <w:i/>
          <w:iCs/>
        </w:rPr>
        <w:t>Société Eveha c/ Institut National de Recherches Archéologiques Préventives</w:t>
      </w:r>
      <w:r>
        <w:t>, 4196, 2 novembre 2020, A, M. Ménéménis, pdt., M. Stahl, rapp., Mme Berriat, rapp. publ.).</w:t>
      </w:r>
    </w:p>
    <w:p w:rsidR="002871C7" w:rsidRDefault="00834424">
      <w:pPr>
        <w:pStyle w:val="Notes"/>
        <w:widowControl/>
      </w:pPr>
      <w:r>
        <w:t>1. Cf. TC, 28 mars 1955, Association syndicale de reconstruction de Toulon c / Effimieff, p. 617.</w:t>
      </w:r>
    </w:p>
    <w:sectPr w:rsidR="002871C7">
      <w:headerReference w:type="default" r:id="rId15"/>
      <w:footerReference w:type="default" r:id="rId16"/>
      <w:type w:val="oddPage"/>
      <w:pgSz w:w="11906" w:h="16838"/>
      <w:pgMar w:top="1134"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C7" w:rsidRDefault="00834424">
      <w:r>
        <w:separator/>
      </w:r>
    </w:p>
  </w:endnote>
  <w:endnote w:type="continuationSeparator" w:id="0">
    <w:p w:rsidR="002871C7" w:rsidRDefault="0083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48" w:rsidRDefault="00255448">
    <w:pPr>
      <w:pStyle w:val="Pieddepage"/>
      <w:framePr w:wrap="auto" w:vAnchor="text" w:hAnchor="margin" w:xAlign="center" w:y="1"/>
      <w:widowControl/>
    </w:pPr>
    <w:r>
      <w:t>-</w:t>
    </w:r>
    <w:r>
      <w:fldChar w:fldCharType="begin"/>
    </w:r>
    <w:r>
      <w:instrText xml:space="preserve">PAGE  </w:instrText>
    </w:r>
    <w:r>
      <w:fldChar w:fldCharType="separate"/>
    </w:r>
    <w:r w:rsidR="00193E87">
      <w:rPr>
        <w:noProof/>
      </w:rPr>
      <w:t>1</w:t>
    </w:r>
    <w:r>
      <w:fldChar w:fldCharType="end"/>
    </w:r>
    <w:r>
      <w:t>-</w:t>
    </w:r>
  </w:p>
  <w:p w:rsidR="00255448" w:rsidRDefault="00255448">
    <w:pPr>
      <w:pStyle w:val="Pieddepage"/>
      <w:widowControl/>
      <w:jc w:val="right"/>
      <w:rPr>
        <w:rFonts w:ascii="Arial" w:hAnsi="Arial" w:cs="Arial"/>
      </w:rPr>
    </w:pPr>
  </w:p>
  <w:p w:rsidR="00255448" w:rsidRDefault="00255448">
    <w:pPr>
      <w:pStyle w:val="Pieddepage"/>
      <w:widowControl/>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framePr w:wrap="auto" w:vAnchor="text" w:hAnchor="margin" w:xAlign="center" w:y="1"/>
      <w:widowControl/>
    </w:pPr>
    <w:r>
      <w:t>-</w:t>
    </w:r>
    <w:r>
      <w:fldChar w:fldCharType="begin"/>
    </w:r>
    <w:r>
      <w:instrText xml:space="preserve">PAGE  </w:instrText>
    </w:r>
    <w:r>
      <w:fldChar w:fldCharType="separate"/>
    </w:r>
    <w:r w:rsidR="00193E87">
      <w:rPr>
        <w:noProof/>
      </w:rPr>
      <w:t>5</w:t>
    </w:r>
    <w:r>
      <w:fldChar w:fldCharType="end"/>
    </w:r>
    <w:r>
      <w:t>-</w:t>
    </w:r>
  </w:p>
  <w:p w:rsidR="002871C7" w:rsidRDefault="002871C7">
    <w:pPr>
      <w:pStyle w:val="Pieddepage"/>
      <w:widowControl/>
      <w:jc w:val="right"/>
      <w:rPr>
        <w:rFonts w:ascii="Arial" w:hAnsi="Arial" w:cs="Arial"/>
      </w:rPr>
    </w:pPr>
  </w:p>
  <w:p w:rsidR="002871C7" w:rsidRDefault="002871C7">
    <w:pPr>
      <w:pStyle w:val="Pieddepage"/>
      <w:widowControl/>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framePr w:wrap="auto" w:vAnchor="text" w:hAnchor="margin" w:xAlign="center" w:y="1"/>
      <w:widowControl/>
    </w:pPr>
    <w:r>
      <w:t>-</w:t>
    </w:r>
    <w:r>
      <w:fldChar w:fldCharType="begin"/>
    </w:r>
    <w:r>
      <w:instrText xml:space="preserve">PAGE  </w:instrText>
    </w:r>
    <w:r>
      <w:fldChar w:fldCharType="separate"/>
    </w:r>
    <w:r w:rsidR="00193E87">
      <w:rPr>
        <w:noProof/>
      </w:rPr>
      <w:t>8</w:t>
    </w:r>
    <w:r>
      <w:fldChar w:fldCharType="end"/>
    </w:r>
    <w:r>
      <w:t xml:space="preserve">- </w:t>
    </w:r>
  </w:p>
  <w:p w:rsidR="002871C7" w:rsidRDefault="002871C7">
    <w:pPr>
      <w:pStyle w:val="Pieddepage"/>
      <w:widowControl/>
      <w:jc w:val="right"/>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framePr w:wrap="auto" w:vAnchor="text" w:hAnchor="margin" w:xAlign="center" w:y="1"/>
      <w:widowControl/>
    </w:pPr>
    <w:r>
      <w:t>-</w:t>
    </w:r>
    <w:r>
      <w:fldChar w:fldCharType="begin"/>
    </w:r>
    <w:r>
      <w:instrText xml:space="preserve">PAGE  </w:instrText>
    </w:r>
    <w:r>
      <w:fldChar w:fldCharType="separate"/>
    </w:r>
    <w:r w:rsidR="00193E87">
      <w:rPr>
        <w:noProof/>
      </w:rPr>
      <w:t>9</w:t>
    </w:r>
    <w:r>
      <w:fldChar w:fldCharType="end"/>
    </w:r>
    <w:r>
      <w:t xml:space="preserve">- </w:t>
    </w:r>
  </w:p>
  <w:p w:rsidR="002871C7" w:rsidRDefault="002871C7">
    <w:pPr>
      <w:pStyle w:val="Pieddepage"/>
      <w:widowControl/>
      <w:jc w:val="right"/>
      <w:rPr>
        <w:rFonts w:ascii="Arial" w:hAnsi="Arial" w:cs="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framePr w:wrap="auto" w:vAnchor="text" w:hAnchor="margin" w:xAlign="center" w:y="1"/>
      <w:widowControl/>
    </w:pPr>
    <w:r>
      <w:t>-</w:t>
    </w:r>
    <w:r>
      <w:fldChar w:fldCharType="begin"/>
    </w:r>
    <w:r>
      <w:instrText xml:space="preserve">PAGE  </w:instrText>
    </w:r>
    <w:r>
      <w:fldChar w:fldCharType="separate"/>
    </w:r>
    <w:r w:rsidR="00193E87">
      <w:rPr>
        <w:noProof/>
      </w:rPr>
      <w:t>11</w:t>
    </w:r>
    <w:r>
      <w:fldChar w:fldCharType="end"/>
    </w:r>
    <w:r>
      <w:t xml:space="preserve">- </w:t>
    </w:r>
  </w:p>
  <w:p w:rsidR="002871C7" w:rsidRDefault="002871C7">
    <w:pPr>
      <w:pStyle w:val="Pieddepage"/>
      <w:widowControl/>
      <w:jc w:val="right"/>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framePr w:wrap="auto" w:vAnchor="text" w:hAnchor="margin" w:xAlign="center" w:y="1"/>
      <w:widowControl/>
    </w:pPr>
    <w:r>
      <w:t>-</w:t>
    </w:r>
    <w:r>
      <w:fldChar w:fldCharType="begin"/>
    </w:r>
    <w:r>
      <w:instrText xml:space="preserve">PAGE  </w:instrText>
    </w:r>
    <w:r>
      <w:fldChar w:fldCharType="separate"/>
    </w:r>
    <w:r w:rsidR="00193E87">
      <w:rPr>
        <w:noProof/>
      </w:rPr>
      <w:t>13</w:t>
    </w:r>
    <w:r>
      <w:fldChar w:fldCharType="end"/>
    </w:r>
    <w:r>
      <w:t xml:space="preserve">- </w:t>
    </w:r>
  </w:p>
  <w:p w:rsidR="002871C7" w:rsidRDefault="002871C7">
    <w:pPr>
      <w:pStyle w:val="Pieddepage"/>
      <w:widowControl/>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C7" w:rsidRDefault="00834424">
      <w:r>
        <w:separator/>
      </w:r>
    </w:p>
  </w:footnote>
  <w:footnote w:type="continuationSeparator" w:id="0">
    <w:p w:rsidR="002871C7" w:rsidRDefault="00834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widowControl/>
      <w:rPr>
        <w:i/>
        <w:iCs/>
        <w:sz w:val="24"/>
        <w:szCs w:val="24"/>
      </w:rPr>
    </w:pPr>
    <w:r>
      <w:rPr>
        <w:sz w:val="24"/>
        <w:szCs w:val="24"/>
      </w:rPr>
      <w:tab/>
    </w:r>
    <w:r>
      <w:rPr>
        <w:sz w:val="24"/>
        <w:szCs w:val="24"/>
      </w:rPr>
      <w:tab/>
    </w:r>
    <w:r>
      <w:rPr>
        <w:i/>
        <w:iCs/>
        <w:sz w:val="24"/>
        <w:szCs w:val="24"/>
      </w:rPr>
      <w:t>17 – Compétence</w:t>
    </w:r>
  </w:p>
  <w:p w:rsidR="002871C7" w:rsidRDefault="002871C7">
    <w:pPr>
      <w:pStyle w:val="Pieddepage"/>
      <w:widowControl/>
      <w:rPr>
        <w:sz w:val="24"/>
        <w:szCs w:val="24"/>
      </w:rPr>
    </w:pPr>
  </w:p>
  <w:p w:rsidR="002871C7" w:rsidRDefault="002871C7">
    <w:pPr>
      <w:pStyle w:val="Pieddepage"/>
      <w:widowControl/>
      <w:rPr>
        <w:sz w:val="24"/>
        <w:szCs w:val="24"/>
      </w:rPr>
    </w:pPr>
  </w:p>
  <w:p w:rsidR="002871C7" w:rsidRDefault="002871C7">
    <w:pPr>
      <w:pStyle w:val="Pieddepage"/>
      <w:widowControl/>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widowControl/>
      <w:rPr>
        <w:i/>
        <w:iCs/>
        <w:sz w:val="24"/>
        <w:szCs w:val="24"/>
      </w:rPr>
    </w:pPr>
    <w:r>
      <w:rPr>
        <w:sz w:val="24"/>
        <w:szCs w:val="24"/>
      </w:rPr>
      <w:tab/>
    </w:r>
    <w:r>
      <w:rPr>
        <w:sz w:val="24"/>
        <w:szCs w:val="24"/>
      </w:rPr>
      <w:tab/>
    </w:r>
    <w:r>
      <w:rPr>
        <w:i/>
        <w:iCs/>
        <w:sz w:val="24"/>
        <w:szCs w:val="24"/>
      </w:rPr>
      <w:t>39 – Marchés et contrats administratifs</w:t>
    </w:r>
  </w:p>
  <w:p w:rsidR="002871C7" w:rsidRDefault="002871C7">
    <w:pPr>
      <w:pStyle w:val="Pieddepage"/>
      <w:widowControl/>
      <w:rPr>
        <w:sz w:val="24"/>
        <w:szCs w:val="24"/>
      </w:rPr>
    </w:pPr>
  </w:p>
  <w:p w:rsidR="002871C7" w:rsidRDefault="002871C7">
    <w:pPr>
      <w:pStyle w:val="Pieddepage"/>
      <w:widowControl/>
      <w:rPr>
        <w:sz w:val="24"/>
        <w:szCs w:val="24"/>
      </w:rPr>
    </w:pPr>
  </w:p>
  <w:p w:rsidR="002871C7" w:rsidRDefault="002871C7">
    <w:pPr>
      <w:pStyle w:val="Pieddepage"/>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widowControl/>
      <w:rPr>
        <w:i/>
        <w:iCs/>
        <w:sz w:val="24"/>
        <w:szCs w:val="24"/>
      </w:rPr>
    </w:pPr>
    <w:r>
      <w:rPr>
        <w:sz w:val="24"/>
        <w:szCs w:val="24"/>
      </w:rPr>
      <w:tab/>
    </w:r>
    <w:r>
      <w:rPr>
        <w:sz w:val="24"/>
        <w:szCs w:val="24"/>
      </w:rPr>
      <w:tab/>
    </w:r>
    <w:r>
      <w:rPr>
        <w:i/>
        <w:iCs/>
        <w:sz w:val="24"/>
        <w:szCs w:val="24"/>
      </w:rPr>
      <w:t>54 – Procédure</w:t>
    </w:r>
  </w:p>
  <w:p w:rsidR="002871C7" w:rsidRDefault="002871C7">
    <w:pPr>
      <w:pStyle w:val="Pieddepage"/>
      <w:widowControl/>
      <w:rPr>
        <w:sz w:val="24"/>
        <w:szCs w:val="24"/>
      </w:rPr>
    </w:pPr>
  </w:p>
  <w:p w:rsidR="002871C7" w:rsidRDefault="002871C7">
    <w:pPr>
      <w:pStyle w:val="Pieddepage"/>
      <w:widowControl/>
      <w:rPr>
        <w:sz w:val="24"/>
        <w:szCs w:val="24"/>
      </w:rPr>
    </w:pPr>
  </w:p>
  <w:p w:rsidR="002871C7" w:rsidRDefault="002871C7">
    <w:pPr>
      <w:pStyle w:val="Pieddepage"/>
      <w:widowControl/>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C7" w:rsidRDefault="00834424">
    <w:pPr>
      <w:pStyle w:val="Pieddepage"/>
      <w:widowControl/>
      <w:rPr>
        <w:i/>
        <w:iCs/>
        <w:sz w:val="24"/>
        <w:szCs w:val="24"/>
      </w:rPr>
    </w:pPr>
    <w:r>
      <w:rPr>
        <w:sz w:val="24"/>
        <w:szCs w:val="24"/>
      </w:rPr>
      <w:tab/>
    </w:r>
    <w:r>
      <w:rPr>
        <w:sz w:val="24"/>
        <w:szCs w:val="24"/>
      </w:rPr>
      <w:tab/>
    </w:r>
    <w:r>
      <w:rPr>
        <w:i/>
        <w:iCs/>
        <w:sz w:val="24"/>
        <w:szCs w:val="24"/>
      </w:rPr>
      <w:t>67 – Travaux publics</w:t>
    </w:r>
  </w:p>
  <w:p w:rsidR="002871C7" w:rsidRDefault="002871C7">
    <w:pPr>
      <w:pStyle w:val="Pieddepage"/>
      <w:widowControl/>
      <w:rPr>
        <w:sz w:val="24"/>
        <w:szCs w:val="24"/>
      </w:rPr>
    </w:pPr>
  </w:p>
  <w:p w:rsidR="002871C7" w:rsidRDefault="002871C7">
    <w:pPr>
      <w:pStyle w:val="Pieddepage"/>
      <w:widowControl/>
      <w:rPr>
        <w:sz w:val="24"/>
        <w:szCs w:val="24"/>
      </w:rPr>
    </w:pPr>
  </w:p>
  <w:p w:rsidR="002871C7" w:rsidRDefault="002871C7">
    <w:pPr>
      <w:pStyle w:val="Pieddepage"/>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24"/>
    <w:rsid w:val="000D08CA"/>
    <w:rsid w:val="00193E87"/>
    <w:rsid w:val="00217DD7"/>
    <w:rsid w:val="00255448"/>
    <w:rsid w:val="002871C7"/>
    <w:rsid w:val="00834424"/>
    <w:rsid w:val="00A254D7"/>
    <w:rsid w:val="00B268EC"/>
    <w:rsid w:val="00B7736F"/>
    <w:rsid w:val="00FC6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A129B2"/>
  <w14:defaultImageDpi w14:val="0"/>
  <w15:docId w15:val="{F6C2B33C-F0A5-43E5-B1CC-7949A513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0"/>
      <w:szCs w:val="20"/>
    </w:rPr>
  </w:style>
  <w:style w:type="paragraph" w:styleId="Titre1">
    <w:name w:val="heading 1"/>
    <w:basedOn w:val="Normal"/>
    <w:next w:val="Normal"/>
    <w:link w:val="Titre1Car"/>
    <w:uiPriority w:val="99"/>
    <w:qFormat/>
    <w:pPr>
      <w:pageBreakBefore/>
      <w:spacing w:before="240" w:after="480"/>
      <w:jc w:val="both"/>
      <w:outlineLvl w:val="0"/>
    </w:pPr>
    <w:rPr>
      <w:rFonts w:ascii="Arial" w:hAnsi="Arial" w:cs="Arial"/>
      <w:b/>
      <w:bCs/>
      <w:sz w:val="48"/>
      <w:szCs w:val="48"/>
    </w:rPr>
  </w:style>
  <w:style w:type="paragraph" w:styleId="Titre2">
    <w:name w:val="heading 2"/>
    <w:basedOn w:val="Normal"/>
    <w:next w:val="Normal"/>
    <w:link w:val="Titre2Car"/>
    <w:uiPriority w:val="99"/>
    <w:qFormat/>
    <w:pPr>
      <w:spacing w:before="240" w:after="240"/>
      <w:jc w:val="both"/>
      <w:outlineLvl w:val="1"/>
    </w:pPr>
    <w:rPr>
      <w:rFonts w:ascii="Arial" w:hAnsi="Arial" w:cs="Arial"/>
      <w:b/>
      <w:bCs/>
      <w:sz w:val="40"/>
      <w:szCs w:val="40"/>
    </w:rPr>
  </w:style>
  <w:style w:type="paragraph" w:styleId="Titre3">
    <w:name w:val="heading 3"/>
    <w:basedOn w:val="Normal"/>
    <w:next w:val="Normal"/>
    <w:link w:val="Titre3Car"/>
    <w:uiPriority w:val="99"/>
    <w:qFormat/>
    <w:pPr>
      <w:spacing w:before="180" w:after="180"/>
      <w:jc w:val="both"/>
      <w:outlineLvl w:val="2"/>
    </w:pPr>
    <w:rPr>
      <w:rFonts w:ascii="Arial" w:hAnsi="Arial" w:cs="Arial"/>
      <w:b/>
      <w:bCs/>
      <w:sz w:val="36"/>
      <w:szCs w:val="36"/>
    </w:rPr>
  </w:style>
  <w:style w:type="paragraph" w:styleId="Titre4">
    <w:name w:val="heading 4"/>
    <w:basedOn w:val="Normal"/>
    <w:next w:val="Normal"/>
    <w:link w:val="Titre4Car"/>
    <w:uiPriority w:val="99"/>
    <w:qFormat/>
    <w:pPr>
      <w:spacing w:before="160" w:after="160"/>
      <w:jc w:val="both"/>
      <w:outlineLvl w:val="3"/>
    </w:pPr>
    <w:rPr>
      <w:rFonts w:ascii="Arial" w:hAnsi="Arial" w:cs="Arial"/>
      <w:b/>
      <w:bCs/>
      <w:sz w:val="32"/>
      <w:szCs w:val="32"/>
    </w:rPr>
  </w:style>
  <w:style w:type="paragraph" w:styleId="Titre5">
    <w:name w:val="heading 5"/>
    <w:basedOn w:val="Normal"/>
    <w:next w:val="Normal"/>
    <w:link w:val="Titre5Car"/>
    <w:uiPriority w:val="99"/>
    <w:qFormat/>
    <w:pPr>
      <w:spacing w:before="140" w:after="140"/>
      <w:jc w:val="both"/>
      <w:outlineLvl w:val="4"/>
    </w:pPr>
    <w:rPr>
      <w:rFonts w:ascii="Arial" w:hAnsi="Arial" w:cs="Arial"/>
      <w:b/>
      <w:bCs/>
      <w:sz w:val="28"/>
      <w:szCs w:val="28"/>
    </w:rPr>
  </w:style>
  <w:style w:type="paragraph" w:styleId="Titre6">
    <w:name w:val="heading 6"/>
    <w:basedOn w:val="Normal"/>
    <w:next w:val="Normal"/>
    <w:link w:val="Titre6Car"/>
    <w:uiPriority w:val="99"/>
    <w:qFormat/>
    <w:pPr>
      <w:spacing w:before="120" w:after="120"/>
      <w:jc w:val="both"/>
      <w:outlineLvl w:val="5"/>
    </w:pPr>
    <w:rPr>
      <w:rFonts w:ascii="Arial" w:hAnsi="Arial" w:cs="Arial"/>
      <w:b/>
      <w:bCs/>
      <w:sz w:val="24"/>
      <w:szCs w:val="24"/>
    </w:rPr>
  </w:style>
  <w:style w:type="paragraph" w:styleId="Titre7">
    <w:name w:val="heading 7"/>
    <w:basedOn w:val="Normal"/>
    <w:next w:val="Normal"/>
    <w:link w:val="Titre7Car"/>
    <w:uiPriority w:val="99"/>
    <w:qFormat/>
    <w:pPr>
      <w:spacing w:before="100" w:after="100"/>
      <w:jc w:val="both"/>
      <w:outlineLvl w:val="6"/>
    </w:pPr>
    <w:rPr>
      <w:rFonts w:ascii="Arial" w:hAnsi="Arial" w:cs="Arial"/>
      <w:b/>
      <w:bCs/>
    </w:rPr>
  </w:style>
  <w:style w:type="paragraph" w:styleId="Titre8">
    <w:name w:val="heading 8"/>
    <w:basedOn w:val="Normal"/>
    <w:next w:val="Normal"/>
    <w:link w:val="Titre8Car"/>
    <w:uiPriority w:val="99"/>
    <w:qFormat/>
    <w:pPr>
      <w:jc w:val="center"/>
      <w:outlineLvl w:val="7"/>
    </w:pPr>
    <w:rPr>
      <w:sz w:val="28"/>
      <w:szCs w:val="28"/>
    </w:rPr>
  </w:style>
  <w:style w:type="paragraph" w:styleId="Titre9">
    <w:name w:val="heading 9"/>
    <w:basedOn w:val="Normal"/>
    <w:next w:val="Normal"/>
    <w:link w:val="Titre9Car"/>
    <w:uiPriority w:val="99"/>
    <w:qFormat/>
    <w:pPr>
      <w:jc w:val="center"/>
      <w:outlineLvl w:val="8"/>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b/>
      <w:bCs/>
      <w:sz w:val="28"/>
      <w:szCs w:val="28"/>
    </w:rPr>
  </w:style>
  <w:style w:type="character" w:customStyle="1" w:styleId="Titre5Car">
    <w:name w:val="Titre 5 Car"/>
    <w:basedOn w:val="Policepardfaut"/>
    <w:link w:val="Titre5"/>
    <w:uiPriority w:val="9"/>
    <w:semiHidden/>
    <w:rPr>
      <w:b/>
      <w:bCs/>
      <w:i/>
      <w:iCs/>
      <w:sz w:val="26"/>
      <w:szCs w:val="26"/>
    </w:rPr>
  </w:style>
  <w:style w:type="character" w:customStyle="1" w:styleId="Titre6Car">
    <w:name w:val="Titre 6 Car"/>
    <w:basedOn w:val="Policepardfaut"/>
    <w:link w:val="Titre6"/>
    <w:uiPriority w:val="9"/>
    <w:semiHidden/>
    <w:rPr>
      <w:b/>
      <w:bCs/>
    </w:rPr>
  </w:style>
  <w:style w:type="character" w:customStyle="1" w:styleId="Titre7Car">
    <w:name w:val="Titre 7 Car"/>
    <w:basedOn w:val="Policepardfaut"/>
    <w:link w:val="Titre7"/>
    <w:uiPriority w:val="99"/>
    <w:rPr>
      <w:sz w:val="24"/>
      <w:szCs w:val="24"/>
    </w:rPr>
  </w:style>
  <w:style w:type="character" w:customStyle="1" w:styleId="Titre8Car">
    <w:name w:val="Titre 8 Car"/>
    <w:basedOn w:val="Policepardfaut"/>
    <w:link w:val="Titre8"/>
    <w:uiPriority w:val="99"/>
    <w:rPr>
      <w:i/>
      <w:iCs/>
      <w:sz w:val="24"/>
      <w:szCs w:val="24"/>
    </w:rPr>
  </w:style>
  <w:style w:type="character" w:customStyle="1" w:styleId="Titre9Car">
    <w:name w:val="Titre 9 Car"/>
    <w:basedOn w:val="Policepardfaut"/>
    <w:link w:val="Titre9"/>
    <w:uiPriority w:val="9"/>
    <w:semiHidden/>
    <w:rPr>
      <w:rFonts w:asciiTheme="majorHAnsi" w:eastAsiaTheme="majorEastAsia" w:hAnsiTheme="majorHAnsi" w:cstheme="majorBidi"/>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Times New Roman" w:hAnsi="Times New Roman" w:cs="Times New Roman"/>
      <w:sz w:val="20"/>
      <w:szCs w:val="20"/>
    </w:rPr>
  </w:style>
  <w:style w:type="paragraph" w:styleId="Retraitnormal">
    <w:name w:val="Normal Indent"/>
    <w:basedOn w:val="Normal"/>
    <w:uiPriority w:val="99"/>
    <w:pPr>
      <w:ind w:left="708"/>
    </w:pPr>
  </w:style>
  <w:style w:type="paragraph" w:styleId="Corpsdetexte">
    <w:name w:val="Body Text"/>
    <w:basedOn w:val="Normal"/>
    <w:link w:val="CorpsdetexteCar"/>
    <w:uiPriority w:val="99"/>
    <w:pPr>
      <w:spacing w:before="100" w:after="100"/>
    </w:pPr>
  </w:style>
  <w:style w:type="character" w:customStyle="1" w:styleId="CorpsdetexteCar">
    <w:name w:val="Corps de texte Car"/>
    <w:basedOn w:val="Policepardfaut"/>
    <w:link w:val="Corpsdetexte"/>
    <w:uiPriority w:val="99"/>
    <w:semiHidden/>
    <w:rPr>
      <w:rFonts w:ascii="Times New Roman" w:hAnsi="Times New Roman" w:cs="Times New Roman"/>
      <w:sz w:val="20"/>
      <w:szCs w:val="20"/>
    </w:rPr>
  </w:style>
  <w:style w:type="paragraph" w:customStyle="1" w:styleId="Queue">
    <w:name w:val="Queue"/>
    <w:basedOn w:val="Normal"/>
    <w:uiPriority w:val="99"/>
    <w:pPr>
      <w:spacing w:before="100" w:after="100"/>
      <w:jc w:val="both"/>
    </w:pPr>
    <w:rPr>
      <w:rFonts w:ascii="Arial" w:hAnsi="Arial" w:cs="Arial"/>
      <w:i/>
      <w:iCs/>
    </w:rPr>
  </w:style>
  <w:style w:type="paragraph" w:customStyle="1" w:styleId="Analyse">
    <w:name w:val="Analyse"/>
    <w:basedOn w:val="Normal"/>
    <w:uiPriority w:val="99"/>
    <w:pPr>
      <w:spacing w:after="100"/>
      <w:jc w:val="both"/>
    </w:pPr>
    <w:rPr>
      <w:rFonts w:ascii="Arial" w:hAnsi="Arial" w:cs="Arial"/>
    </w:rPr>
  </w:style>
  <w:style w:type="paragraph" w:customStyle="1" w:styleId="Notes">
    <w:name w:val="Notes"/>
    <w:basedOn w:val="Normal"/>
    <w:uiPriority w:val="99"/>
    <w:pPr>
      <w:jc w:val="both"/>
    </w:pPr>
    <w:rPr>
      <w:rFonts w:ascii="Arial" w:hAnsi="Arial" w:cs="Arial"/>
    </w:rPr>
  </w:style>
  <w:style w:type="paragraph" w:styleId="Textebrut">
    <w:name w:val="Plain Text"/>
    <w:basedOn w:val="Normal"/>
    <w:link w:val="TextebrutCar"/>
    <w:uiPriority w:val="99"/>
    <w:rPr>
      <w:rFonts w:ascii="Courier New" w:hAnsi="Courier New" w:cs="Courier New"/>
    </w:rPr>
  </w:style>
  <w:style w:type="character" w:customStyle="1" w:styleId="TextebrutCar">
    <w:name w:val="Texte brut Car"/>
    <w:basedOn w:val="Policepardfaut"/>
    <w:link w:val="Textebrut"/>
    <w:uiPriority w:val="99"/>
    <w:semiHidden/>
    <w:rPr>
      <w:rFonts w:ascii="Courier New" w:hAnsi="Courier New" w:cs="Courier New"/>
      <w:sz w:val="20"/>
      <w:szCs w:val="20"/>
    </w:rPr>
  </w:style>
  <w:style w:type="paragraph" w:customStyle="1" w:styleId="Identification">
    <w:name w:val="Identification"/>
    <w:basedOn w:val="Normal"/>
    <w:uiPriority w:val="99"/>
    <w:rPr>
      <w:rFonts w:ascii="Arial" w:hAnsi="Arial" w:cs="Arial"/>
    </w:rPr>
  </w:style>
  <w:style w:type="paragraph" w:styleId="TM1">
    <w:name w:val="toc 1"/>
    <w:basedOn w:val="Normal"/>
    <w:next w:val="Normal"/>
    <w:autoRedefine/>
    <w:uiPriority w:val="39"/>
    <w:pPr>
      <w:spacing w:before="300" w:after="60"/>
    </w:pPr>
    <w:rPr>
      <w:b/>
      <w:bCs/>
      <w:smallCaps/>
      <w:sz w:val="24"/>
      <w:szCs w:val="24"/>
    </w:rPr>
  </w:style>
  <w:style w:type="paragraph" w:styleId="TM2">
    <w:name w:val="toc 2"/>
    <w:basedOn w:val="Normal"/>
    <w:next w:val="Normal"/>
    <w:autoRedefine/>
    <w:uiPriority w:val="39"/>
    <w:pPr>
      <w:spacing w:before="120" w:after="60"/>
      <w:ind w:left="240"/>
    </w:pPr>
    <w:rPr>
      <w:i/>
      <w:iCs/>
      <w:sz w:val="22"/>
      <w:szCs w:val="22"/>
    </w:rPr>
  </w:style>
  <w:style w:type="paragraph" w:styleId="TM3">
    <w:name w:val="toc 3"/>
    <w:basedOn w:val="Normal"/>
    <w:next w:val="Normal"/>
    <w:autoRedefine/>
    <w:uiPriority w:val="39"/>
    <w:pPr>
      <w:spacing w:before="60" w:after="60"/>
      <w:ind w:left="480"/>
    </w:pPr>
  </w:style>
  <w:style w:type="character" w:styleId="Lienhypertexte">
    <w:name w:val="Hyperlink"/>
    <w:uiPriority w:val="99"/>
    <w:unhideWhenUsed/>
    <w:rsid w:val="008344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1550</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COMPARE Nathalie</dc:creator>
  <cp:keywords/>
  <dc:description/>
  <cp:lastModifiedBy>MARTINIE Pierre-Yves</cp:lastModifiedBy>
  <cp:revision>10</cp:revision>
  <cp:lastPrinted>2020-12-01T15:18:00Z</cp:lastPrinted>
  <dcterms:created xsi:type="dcterms:W3CDTF">2020-12-01T14:57:00Z</dcterms:created>
  <dcterms:modified xsi:type="dcterms:W3CDTF">2020-12-02T14:16:00Z</dcterms:modified>
</cp:coreProperties>
</file>